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b/>
                  <w:bCs/>
                  <w:rtl/>
                </w:rPr>
                <w:alias w:val="1574"/>
                <w:tag w:val="1574"/>
                <w:id w:val="414602899"/>
                <w:text w:multiLine="1"/>
              </w:sdtPr>
              <w:sdtEndPr/>
              <w:sdtContent>
                <w:r w:rsidR="00D6251F" w:rsidRPr="008B3606">
                  <w:rPr>
                    <w:b/>
                    <w:bCs/>
                    <w:rtl/>
                  </w:rPr>
                  <w:t>שופטת</w:t>
                </w:r>
              </w:sdtContent>
            </w:sdt>
            <w:r w:rsidR="0094424E" w:rsidRPr="008B3606">
              <w:rPr>
                <w:rFonts w:ascii="Arial" w:hAnsi="Arial" w:hint="cs"/>
                <w:b/>
                <w:bCs/>
                <w:rtl/>
              </w:rPr>
              <w:t xml:space="preserve">  </w:t>
            </w:r>
            <w:sdt>
              <w:sdtPr>
                <w:rPr>
                  <w:b/>
                  <w:bCs/>
                  <w:rtl/>
                </w:rPr>
                <w:alias w:val="1573"/>
                <w:tag w:val="1573"/>
                <w:id w:val="-1751030614"/>
                <w:text w:multiLine="1"/>
              </w:sdtPr>
              <w:sdtEndPr/>
              <w:sdtContent>
                <w:r w:rsidR="00D6251F" w:rsidRPr="008B3606">
                  <w:rPr>
                    <w:b/>
                    <w:bCs/>
                    <w:rtl/>
                  </w:rPr>
                  <w:t>שירלי שי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sz w:val="26"/>
                <w:szCs w:val="26"/>
                <w:rtl/>
              </w:rPr>
              <w:alias w:val="1180"/>
              <w:tag w:val="1180"/>
              <w:id w:val="637458750"/>
              <w:text w:multiLine="1"/>
            </w:sdtPr>
            <w:sdtEndPr/>
            <w:sdtContent>
              <w:p w:rsidR="0034510B" w:rsidRDefault="00D6251F" w:rsidP="00377767">
                <w:pPr>
                  <w:suppressLineNumbers/>
                  <w:rPr>
                    <w:rFonts w:ascii="Arial" w:hAnsi="Arial"/>
                    <w:b/>
                    <w:bCs/>
                    <w:noProof w:val="0"/>
                    <w:sz w:val="26"/>
                    <w:szCs w:val="26"/>
                    <w:rtl/>
                  </w:rPr>
                </w:pPr>
                <w:r w:rsidRPr="009353BC">
                  <w:rPr>
                    <w:b/>
                    <w:bCs/>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57851" w:rsidP="006A5146">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6A5146">
                  <w:rPr>
                    <w:rFonts w:ascii="Arial" w:hAnsi="Arial"/>
                    <w:b/>
                    <w:bCs/>
                    <w:noProof w:val="0"/>
                    <w:sz w:val="26"/>
                    <w:szCs w:val="26"/>
                    <w:rtl/>
                  </w:rPr>
                  <w:t>ר</w:t>
                </w:r>
                <w:r w:rsidR="006A5146">
                  <w:rPr>
                    <w:rFonts w:ascii="Arial" w:hAnsi="Arial" w:hint="cs"/>
                    <w:b/>
                    <w:bCs/>
                    <w:noProof w:val="0"/>
                    <w:sz w:val="26"/>
                    <w:szCs w:val="26"/>
                    <w:rtl/>
                  </w:rPr>
                  <w:t>'</w:t>
                </w:r>
                <w:r w:rsidR="006A5146">
                  <w:rPr>
                    <w:rFonts w:ascii="Arial" w:hAnsi="Arial"/>
                    <w:b/>
                    <w:bCs/>
                    <w:noProof w:val="0"/>
                    <w:sz w:val="26"/>
                    <w:szCs w:val="26"/>
                    <w:rtl/>
                  </w:rPr>
                  <w:t xml:space="preserve"> ר</w:t>
                </w:r>
                <w:r w:rsidR="006A5146">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556455" w:rsidP="00D44968">
            <w:pPr>
              <w:suppressLineNumbers/>
              <w:rPr>
                <w:rFonts w:ascii="Arial" w:hAnsi="Arial"/>
                <w:b/>
                <w:bCs/>
                <w:noProof w:val="0"/>
                <w:sz w:val="26"/>
                <w:szCs w:val="26"/>
                <w:rtl/>
              </w:rPr>
            </w:pPr>
            <w:r>
              <w:rPr>
                <w:rFonts w:ascii="Arial" w:hAnsi="Arial" w:hint="cs"/>
                <w:b/>
                <w:bCs/>
                <w:noProof w:val="0"/>
                <w:sz w:val="26"/>
                <w:szCs w:val="26"/>
                <w:rtl/>
              </w:rPr>
              <w:t xml:space="preserve">                                                        ע"י ב"כ עוה"ד ארתור שני</w:t>
            </w:r>
          </w:p>
          <w:p w:rsidR="00052F0B" w:rsidRDefault="00052F0B"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57851" w:rsidP="00377767">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D6251F" w:rsidRPr="009353BC">
                  <w:rPr>
                    <w:b/>
                    <w:bCs/>
                    <w:sz w:val="26"/>
                    <w:szCs w:val="26"/>
                    <w:rtl/>
                  </w:rPr>
                  <w:t>נתבעת:</w:t>
                </w:r>
              </w:sdtContent>
            </w:sdt>
          </w:p>
        </w:tc>
        <w:tc>
          <w:tcPr>
            <w:tcW w:w="5571" w:type="dxa"/>
          </w:tcPr>
          <w:p w:rsidR="0094424E" w:rsidRPr="00E54CD9" w:rsidRDefault="00157851" w:rsidP="006A5146">
            <w:pPr>
              <w:suppressLineNumbers/>
              <w:rPr>
                <w:rFonts w:ascii="Arial" w:hAnsi="Arial"/>
                <w:b/>
                <w:bCs/>
                <w:noProof w:val="0"/>
                <w:sz w:val="26"/>
                <w:szCs w:val="26"/>
                <w:rtl/>
              </w:rPr>
            </w:pPr>
            <w:sdt>
              <w:sdtPr>
                <w:rPr>
                  <w:b/>
                  <w:bCs/>
                  <w:sz w:val="26"/>
                  <w:szCs w:val="26"/>
                  <w:rtl/>
                </w:rPr>
                <w:alias w:val="1486"/>
                <w:tag w:val="1486"/>
                <w:id w:val="-309872140"/>
                <w:text w:multiLine="1"/>
              </w:sdtPr>
              <w:sdtEndPr/>
              <w:sdtContent>
                <w:r w:rsidR="006A5146">
                  <w:rPr>
                    <w:b/>
                    <w:bCs/>
                    <w:sz w:val="26"/>
                    <w:szCs w:val="26"/>
                    <w:rtl/>
                  </w:rPr>
                  <w:t>א</w:t>
                </w:r>
                <w:r w:rsidR="006A5146">
                  <w:rPr>
                    <w:rFonts w:hint="cs"/>
                    <w:b/>
                    <w:bCs/>
                    <w:sz w:val="26"/>
                    <w:szCs w:val="26"/>
                    <w:rtl/>
                  </w:rPr>
                  <w:t>'</w:t>
                </w:r>
                <w:r w:rsidR="006A5146">
                  <w:rPr>
                    <w:b/>
                    <w:bCs/>
                    <w:sz w:val="26"/>
                    <w:szCs w:val="26"/>
                    <w:rtl/>
                  </w:rPr>
                  <w:t xml:space="preserve"> י</w:t>
                </w:r>
                <w:r w:rsidR="006A5146">
                  <w:rPr>
                    <w:rFonts w:hint="cs"/>
                    <w:b/>
                    <w:bCs/>
                    <w:sz w:val="26"/>
                    <w:szCs w:val="26"/>
                    <w:rtl/>
                  </w:rPr>
                  <w:t>'</w:t>
                </w:r>
                <w:r w:rsidR="006A5146">
                  <w:rPr>
                    <w:b/>
                    <w:bCs/>
                    <w:sz w:val="26"/>
                    <w:szCs w:val="26"/>
                    <w:rtl/>
                  </w:rPr>
                  <w:t xml:space="preserve"> </w:t>
                </w:r>
                <w:r w:rsidR="006A5146">
                  <w:rPr>
                    <w:rFonts w:hint="cs"/>
                    <w:b/>
                    <w:bCs/>
                    <w:sz w:val="26"/>
                    <w:szCs w:val="26"/>
                    <w:rtl/>
                  </w:rPr>
                  <w:t xml:space="preserve">ה' </w:t>
                </w:r>
              </w:sdtContent>
            </w:sdt>
            <w:r w:rsidR="00E54CD9">
              <w:rPr>
                <w:rFonts w:hint="cs"/>
                <w:rtl/>
              </w:rPr>
              <w:t xml:space="preserve"> </w:t>
            </w:r>
          </w:p>
          <w:p w:rsidR="00CF6BB7" w:rsidRDefault="00556455" w:rsidP="00D44968">
            <w:pPr>
              <w:suppressLineNumbers/>
              <w:rPr>
                <w:b/>
                <w:bCs/>
                <w:noProof w:val="0"/>
                <w:sz w:val="26"/>
                <w:szCs w:val="26"/>
                <w:rtl/>
              </w:rPr>
            </w:pPr>
            <w:r>
              <w:rPr>
                <w:rFonts w:hint="cs"/>
                <w:b/>
                <w:bCs/>
                <w:noProof w:val="0"/>
                <w:sz w:val="26"/>
                <w:szCs w:val="26"/>
                <w:rtl/>
              </w:rPr>
              <w:t>ע"י ב"כ עוה"ד גדי אפריאט</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34510B" w:rsidRDefault="0034510B">
            <w:pPr>
              <w:rPr>
                <w:rFonts w:ascii="David" w:eastAsia="David" w:hAnsi="David"/>
                <w:noProof w:val="0"/>
              </w:rPr>
            </w:pPr>
          </w:p>
        </w:tc>
        <w:tc>
          <w:tcPr>
            <w:tcW w:w="5571" w:type="dxa"/>
          </w:tcPr>
          <w:p w:rsidR="0034510B" w:rsidRDefault="0034510B">
            <w:pPr>
              <w:rPr>
                <w:b/>
                <w:bCs/>
                <w:sz w:val="26"/>
                <w:szCs w:val="26"/>
              </w:rPr>
            </w:pPr>
          </w:p>
        </w:tc>
      </w:tr>
      <w:tr w:rsidR="004C17EE" w:rsidTr="00D620FD">
        <w:trPr>
          <w:jc w:val="center"/>
        </w:trPr>
        <w:tc>
          <w:tcPr>
            <w:tcW w:w="8820" w:type="dxa"/>
            <w:gridSpan w:val="3"/>
          </w:tcPr>
          <w:p w:rsidR="0034510B" w:rsidRDefault="0034510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377767" w:rsidRPr="00710006" w:rsidRDefault="00377767" w:rsidP="00710006">
      <w:pPr>
        <w:pStyle w:val="ad"/>
        <w:numPr>
          <w:ilvl w:val="0"/>
          <w:numId w:val="1"/>
        </w:numPr>
        <w:spacing w:line="360" w:lineRule="auto"/>
        <w:ind w:left="425" w:hanging="425"/>
        <w:jc w:val="both"/>
        <w:rPr>
          <w:rFonts w:ascii="Arial" w:hAnsi="Arial"/>
          <w:noProof w:val="0"/>
          <w:rtl/>
        </w:rPr>
      </w:pPr>
      <w:bookmarkStart w:id="1" w:name="NGCSBookmark"/>
      <w:bookmarkEnd w:id="1"/>
      <w:r w:rsidRPr="00710006">
        <w:rPr>
          <w:rFonts w:ascii="Arial" w:hAnsi="Arial" w:hint="cs"/>
          <w:noProof w:val="0"/>
          <w:rtl/>
        </w:rPr>
        <w:t>ההליך שבכותרת הינו תביעה ל</w:t>
      </w:r>
      <w:r w:rsidR="00710006" w:rsidRPr="00710006">
        <w:rPr>
          <w:rFonts w:ascii="Arial" w:hAnsi="Arial" w:hint="cs"/>
          <w:noProof w:val="0"/>
          <w:rtl/>
        </w:rPr>
        <w:t>פינוי ו</w:t>
      </w:r>
      <w:r w:rsidRPr="00710006">
        <w:rPr>
          <w:rFonts w:ascii="Arial" w:hAnsi="Arial" w:hint="cs"/>
          <w:noProof w:val="0"/>
          <w:rtl/>
        </w:rPr>
        <w:t>סילוק יד ממקרקעין, שהגיש התובע כנגד הנתבעת.</w:t>
      </w:r>
    </w:p>
    <w:p w:rsidR="00710006" w:rsidRPr="00710006" w:rsidRDefault="00377767" w:rsidP="0095115B">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 xml:space="preserve">המקרקעין המדוברים הינם דירת מגורים, הרשומה בבעלות מלאה של התובע, המצויה ברחוב </w:t>
      </w:r>
      <w:r w:rsidR="0095115B">
        <w:rPr>
          <w:rFonts w:ascii="Arial" w:hAnsi="Arial" w:hint="cs"/>
          <w:noProof w:val="0"/>
          <w:rtl/>
        </w:rPr>
        <w:t>----  ב-----</w:t>
      </w:r>
      <w:r w:rsidRPr="00710006">
        <w:rPr>
          <w:rFonts w:ascii="Arial" w:hAnsi="Arial" w:hint="cs"/>
          <w:noProof w:val="0"/>
          <w:rtl/>
        </w:rPr>
        <w:t xml:space="preserve"> (להלן: "</w:t>
      </w:r>
      <w:r w:rsidRPr="00710006">
        <w:rPr>
          <w:rFonts w:ascii="Arial" w:hAnsi="Arial" w:hint="cs"/>
          <w:b/>
          <w:bCs/>
          <w:noProof w:val="0"/>
          <w:rtl/>
        </w:rPr>
        <w:t>דירת המגורים</w:t>
      </w:r>
      <w:r w:rsidRPr="00710006">
        <w:rPr>
          <w:rFonts w:ascii="Arial" w:hAnsi="Arial" w:hint="cs"/>
          <w:noProof w:val="0"/>
          <w:rtl/>
        </w:rPr>
        <w:t>")</w:t>
      </w:r>
      <w:r w:rsidR="00710006" w:rsidRPr="00710006">
        <w:rPr>
          <w:rFonts w:ascii="Arial" w:hAnsi="Arial" w:hint="cs"/>
          <w:noProof w:val="0"/>
          <w:rtl/>
        </w:rPr>
        <w:t>.</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הצדדים ניהלו קשר זוגי, כאשר לכל אחד מהם זהו פרק ב', והינם מתגוררים בדירת המגורים מזה כ- 9 שנים.</w:t>
      </w:r>
    </w:p>
    <w:p w:rsidR="00710006" w:rsidRPr="00710006" w:rsidRDefault="00710006" w:rsidP="00052F0B">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במסגרת כתב התביעה עתר התובע, בין היתר, להורות לנתבעת למסור לו את החזקה בדירת המגורים כשהיא פנויה מכל חפץ</w:t>
      </w:r>
      <w:r w:rsidR="00052F0B">
        <w:rPr>
          <w:rFonts w:ascii="Arial" w:hAnsi="Arial" w:hint="cs"/>
          <w:noProof w:val="0"/>
          <w:rtl/>
        </w:rPr>
        <w:t>,</w:t>
      </w:r>
      <w:r w:rsidRPr="00710006">
        <w:rPr>
          <w:rFonts w:ascii="Arial" w:hAnsi="Arial" w:hint="cs"/>
          <w:noProof w:val="0"/>
          <w:rtl/>
        </w:rPr>
        <w:t xml:space="preserve"> להורות לנתבעת לסלק את ידה מדירת המגורים ולפנותה, תוך הימנעות מעשיית כל פעולה שיש בה משום הפרעה לתובע. </w:t>
      </w:r>
      <w:r w:rsidR="00556455">
        <w:rPr>
          <w:rFonts w:ascii="Arial" w:hAnsi="Arial" w:hint="cs"/>
          <w:noProof w:val="0"/>
          <w:rtl/>
        </w:rPr>
        <w:t xml:space="preserve">כמו כן, </w:t>
      </w:r>
      <w:r w:rsidRPr="00710006">
        <w:rPr>
          <w:rFonts w:ascii="Arial" w:hAnsi="Arial" w:hint="cs"/>
          <w:noProof w:val="0"/>
          <w:rtl/>
        </w:rPr>
        <w:t>להורות כי הרשות שנתן התובע לנתבעת, להתגורר בדירת המגורים, מבוטלת, ולהורות לנתבעת לשלם לתובע דמי שימוש ראויים בסך של 500 ₪ ליום, החל מיום 10.5.2024 ועד לפינוי דירת המגורים בפועל על ידה.</w:t>
      </w:r>
    </w:p>
    <w:p w:rsidR="00710006" w:rsidRPr="00710006" w:rsidRDefault="00710006" w:rsidP="00D32163">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lastRenderedPageBreak/>
        <w:t xml:space="preserve">קדם להליך שבכותרת הליך ה"ט שהגישה </w:t>
      </w:r>
      <w:r w:rsidR="00D32163">
        <w:rPr>
          <w:rFonts w:ascii="Arial" w:hAnsi="Arial" w:hint="cs"/>
          <w:noProof w:val="0"/>
          <w:rtl/>
        </w:rPr>
        <w:t>הנתבעת</w:t>
      </w:r>
      <w:r w:rsidRPr="00710006">
        <w:rPr>
          <w:rFonts w:ascii="Arial" w:hAnsi="Arial" w:hint="cs"/>
          <w:noProof w:val="0"/>
          <w:rtl/>
        </w:rPr>
        <w:t xml:space="preserve"> כנגד </w:t>
      </w:r>
      <w:r w:rsidR="00D32163">
        <w:rPr>
          <w:rFonts w:ascii="Arial" w:hAnsi="Arial" w:hint="cs"/>
          <w:noProof w:val="0"/>
          <w:rtl/>
        </w:rPr>
        <w:t>התובע</w:t>
      </w:r>
      <w:r w:rsidRPr="00710006">
        <w:rPr>
          <w:rFonts w:ascii="Arial" w:hAnsi="Arial" w:hint="cs"/>
          <w:noProof w:val="0"/>
          <w:rtl/>
        </w:rPr>
        <w:t>, במהלך פברואר שנה זו, בו עתרה הנתבעת, בין היתר, לאסור על התובע להטרידה בכל דרך ובכל מקום, לאיים עליה, לבלוש אחריה, ליצור עימה כל קשר בעל פה, בכתב או בכל אמצעי אחר, להימצא במרחק מסוים מדירת המגורים, רכבה, מקום עבודתה.</w:t>
      </w:r>
    </w:p>
    <w:p w:rsidR="00694556" w:rsidRPr="00710006" w:rsidRDefault="00377767"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 xml:space="preserve">בדיון שהתקיים בפניי, במעמד הצדדים, ביום </w:t>
      </w:r>
      <w:r w:rsidR="00710006" w:rsidRPr="00710006">
        <w:rPr>
          <w:rFonts w:ascii="Arial" w:hAnsi="Arial" w:hint="cs"/>
          <w:noProof w:val="0"/>
          <w:rtl/>
        </w:rPr>
        <w:t>2.7.2024</w:t>
      </w:r>
      <w:r w:rsidRPr="00710006">
        <w:rPr>
          <w:rFonts w:ascii="Arial" w:hAnsi="Arial" w:hint="cs"/>
          <w:noProof w:val="0"/>
          <w:rtl/>
        </w:rPr>
        <w:t xml:space="preserve"> עתר התובע </w:t>
      </w:r>
      <w:r w:rsidR="00E21123" w:rsidRPr="00710006">
        <w:rPr>
          <w:rFonts w:ascii="Arial" w:hAnsi="Arial" w:hint="cs"/>
          <w:noProof w:val="0"/>
          <w:rtl/>
        </w:rPr>
        <w:t xml:space="preserve">להורות כבר כעת על </w:t>
      </w:r>
      <w:r w:rsidRPr="00710006">
        <w:rPr>
          <w:rFonts w:ascii="Arial" w:hAnsi="Arial" w:hint="cs"/>
          <w:noProof w:val="0"/>
          <w:rtl/>
        </w:rPr>
        <w:t xml:space="preserve">פינויה של הנתבעת מדירת המגורים, </w:t>
      </w:r>
      <w:r w:rsidR="00E21123" w:rsidRPr="00710006">
        <w:rPr>
          <w:rFonts w:ascii="Arial" w:hAnsi="Arial" w:hint="cs"/>
          <w:noProof w:val="0"/>
          <w:rtl/>
        </w:rPr>
        <w:t>ולחלופין, להורות על חיוב הנתבעת בדמי שימוש ראויים.</w:t>
      </w:r>
    </w:p>
    <w:p w:rsidR="00E21123" w:rsidRDefault="00E21123" w:rsidP="00052F0B">
      <w:pPr>
        <w:ind w:left="425" w:hanging="425"/>
        <w:jc w:val="both"/>
        <w:rPr>
          <w:rFonts w:ascii="Arial" w:hAnsi="Arial"/>
          <w:noProof w:val="0"/>
          <w:rtl/>
        </w:rPr>
      </w:pPr>
    </w:p>
    <w:p w:rsidR="00377767" w:rsidRPr="00710006" w:rsidRDefault="00377767" w:rsidP="00710006">
      <w:pPr>
        <w:pStyle w:val="ad"/>
        <w:spacing w:line="360" w:lineRule="auto"/>
        <w:ind w:left="425"/>
        <w:jc w:val="both"/>
        <w:rPr>
          <w:rFonts w:ascii="Arial" w:hAnsi="Arial"/>
          <w:b/>
          <w:bCs/>
          <w:noProof w:val="0"/>
          <w:u w:val="single"/>
          <w:rtl/>
        </w:rPr>
      </w:pPr>
      <w:r w:rsidRPr="00710006">
        <w:rPr>
          <w:rFonts w:ascii="Arial" w:hAnsi="Arial" w:hint="cs"/>
          <w:b/>
          <w:bCs/>
          <w:noProof w:val="0"/>
          <w:u w:val="single"/>
          <w:rtl/>
        </w:rPr>
        <w:t>טענות התובע בתמצית:</w:t>
      </w:r>
    </w:p>
    <w:p w:rsidR="00377767"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מדובר בדירת מגורים הרשומה בבעלות מלאה של התובע ולנתבעת אין כל זכויות בה.</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טענות הנתבעת לזכויות עתידיות, אינן עילה לפגוע בזכויות מבוררות, רשומות כדין.</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בין הצדדים קיים הסכם ממון הקובע הפרדה רכושית.</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אין בטענת הנתבעת להיותם ידועים בציבור בכדי להקנות לנתבעת זכויות בדירת המגורים.</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sidRPr="00710006">
        <w:rPr>
          <w:rFonts w:ascii="Arial" w:hAnsi="Arial" w:hint="cs"/>
          <w:noProof w:val="0"/>
          <w:rtl/>
        </w:rPr>
        <w:t xml:space="preserve">בעת תביעת התובע </w:t>
      </w:r>
      <w:r w:rsidR="00556455">
        <w:rPr>
          <w:rFonts w:ascii="Arial" w:hAnsi="Arial" w:hint="cs"/>
          <w:noProof w:val="0"/>
          <w:rtl/>
        </w:rPr>
        <w:t xml:space="preserve">אשר </w:t>
      </w:r>
      <w:r w:rsidRPr="00710006">
        <w:rPr>
          <w:rFonts w:ascii="Arial" w:hAnsi="Arial" w:hint="cs"/>
          <w:noProof w:val="0"/>
          <w:rtl/>
        </w:rPr>
        <w:t>הוגשה כבר ב- 5/2024, הנתבעת השתהתה מלהגיש תביעה מטעמה, וזו הוגשה רק ערב הדיון, ועל כן אין להסית את הדין ו/או להרחיב חזית, לגבי טענות התובע בהליך זה.</w:t>
      </w:r>
    </w:p>
    <w:p w:rsidR="00710006" w:rsidRDefault="00710006" w:rsidP="00710006">
      <w:pPr>
        <w:pStyle w:val="ad"/>
        <w:numPr>
          <w:ilvl w:val="0"/>
          <w:numId w:val="1"/>
        </w:numPr>
        <w:spacing w:line="360" w:lineRule="auto"/>
        <w:ind w:left="425" w:hanging="425"/>
        <w:jc w:val="both"/>
        <w:rPr>
          <w:rFonts w:ascii="Arial" w:hAnsi="Arial"/>
          <w:noProof w:val="0"/>
        </w:rPr>
      </w:pPr>
      <w:r w:rsidRPr="00710006">
        <w:rPr>
          <w:rFonts w:ascii="Arial" w:hAnsi="Arial" w:hint="cs"/>
          <w:noProof w:val="0"/>
          <w:rtl/>
        </w:rPr>
        <w:t>כתב ההגנה אינו מעלה כל עילת הגנה, ובמקרים מעין אלה, בית המשפט יכול וצריך ליתן פסק דין כבר בדיון קדם המשפט</w:t>
      </w:r>
      <w:r>
        <w:rPr>
          <w:rFonts w:ascii="Arial" w:hAnsi="Arial" w:hint="cs"/>
          <w:noProof w:val="0"/>
          <w:rtl/>
        </w:rPr>
        <w:t xml:space="preserve">, תוך הפנייה לרע"א 5500/23 </w:t>
      </w:r>
      <w:r w:rsidRPr="00052F0B">
        <w:rPr>
          <w:rFonts w:ascii="David" w:hAnsi="David"/>
          <w:b/>
          <w:bCs/>
          <w:noProof w:val="0"/>
          <w:rtl/>
        </w:rPr>
        <w:t>פלונית נ' ג'ונסון אנד ג'ונסון</w:t>
      </w:r>
      <w:r>
        <w:rPr>
          <w:rFonts w:ascii="Arial" w:hAnsi="Arial" w:hint="cs"/>
          <w:noProof w:val="0"/>
          <w:rtl/>
        </w:rPr>
        <w:t>.</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lastRenderedPageBreak/>
        <w:t>לחלופין, וככל שבית המשפט יסבור כי יש מקום להמשיך בהליך, והנתבעת אינה מוכנה לפנות את דירת המגורים, יש להורות על חיובה בדמי שימוש.</w:t>
      </w:r>
    </w:p>
    <w:p w:rsidR="00710006" w:rsidRPr="00710006" w:rsidRDefault="00710006" w:rsidP="00710006">
      <w:pPr>
        <w:pStyle w:val="ad"/>
        <w:numPr>
          <w:ilvl w:val="0"/>
          <w:numId w:val="1"/>
        </w:numPr>
        <w:spacing w:line="360" w:lineRule="auto"/>
        <w:ind w:left="425" w:hanging="425"/>
        <w:jc w:val="both"/>
        <w:rPr>
          <w:rFonts w:ascii="Arial" w:hAnsi="Arial"/>
          <w:noProof w:val="0"/>
          <w:rtl/>
        </w:rPr>
      </w:pPr>
      <w:r>
        <w:rPr>
          <w:rFonts w:ascii="Arial" w:hAnsi="Arial" w:hint="cs"/>
          <w:noProof w:val="0"/>
          <w:rtl/>
        </w:rPr>
        <w:t>בנוסף, ובאם תינתן החלטה שההליך ימשך, להורות לנתבעת להגיש ערובה להוצאות התובע.</w:t>
      </w:r>
    </w:p>
    <w:p w:rsidR="00710006" w:rsidRDefault="00710006" w:rsidP="00052F0B">
      <w:pPr>
        <w:ind w:left="425" w:hanging="425"/>
        <w:jc w:val="both"/>
        <w:rPr>
          <w:rFonts w:ascii="Arial" w:hAnsi="Arial"/>
          <w:noProof w:val="0"/>
          <w:rtl/>
        </w:rPr>
      </w:pPr>
    </w:p>
    <w:p w:rsidR="00377767" w:rsidRPr="00710006" w:rsidRDefault="00377767" w:rsidP="00710006">
      <w:pPr>
        <w:pStyle w:val="ad"/>
        <w:spacing w:line="360" w:lineRule="auto"/>
        <w:ind w:left="425"/>
        <w:jc w:val="both"/>
        <w:rPr>
          <w:rFonts w:ascii="Arial" w:hAnsi="Arial"/>
          <w:b/>
          <w:bCs/>
          <w:noProof w:val="0"/>
          <w:u w:val="single"/>
          <w:rtl/>
        </w:rPr>
      </w:pPr>
      <w:r w:rsidRPr="00710006">
        <w:rPr>
          <w:rFonts w:ascii="Arial" w:hAnsi="Arial" w:hint="cs"/>
          <w:b/>
          <w:bCs/>
          <w:noProof w:val="0"/>
          <w:u w:val="single"/>
          <w:rtl/>
        </w:rPr>
        <w:t>טענות הנתבעת בתמצית:</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לנתבעת זכויות בדירה מכח היותם של הצדדים ידועים בציבור.</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יתר על כן, לנתבעת יש זכויות מגורים בדירה בשל התחייבות מפורשת של התובע, שניתנה לה במהלך 10 שנים של חיים משותפים, לפיה היא תמשיך לגור בדירת המגורים עד אחרית ימיה ושנותיה.</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התובע אף התחייב לערוך צוואה שאם חלילה ילך לעולמו, התחייבותו לזכות מגורים לכל החיים תבוא לידי ביטוי בצוואתו.</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אי אפשר "לזרוק" אשה בת 67 מדירת מגורים אחרי שנטשה את כל מה שהיה לה לפני שעברה להתגורר בדירת המגורים עם התובע.</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לנתבעת אין איפה לגור, יש בבעלותה קרקע חקלאית בלבד, ואין זה תחליף דיור.</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בקשת התובע לדמי שימוש אינה עומדת בתנאים של סעד זמני משום שהסעד הזמני זהה לסעד העיקרי.</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עתירת התובע לחייב את הנתבעת בהמצאת ערובה לא קיימת בתקנות סדר הדין, מאחר ורק על תובע ניתן להורות המצאת ערובה.</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לא ניתן בשלב כה מוקדם ועוד לפני שניתנה לנתבעת הזכות להגיש את ראיותיה, ליתן פסק דין לסילוקה מדירת המגורים.</w:t>
      </w:r>
    </w:p>
    <w:p w:rsidR="00710006" w:rsidRDefault="00710006" w:rsidP="00052F0B">
      <w:pPr>
        <w:pStyle w:val="ad"/>
        <w:ind w:left="425"/>
        <w:jc w:val="both"/>
        <w:rPr>
          <w:rFonts w:ascii="Arial" w:hAnsi="Arial"/>
          <w:noProof w:val="0"/>
        </w:rPr>
      </w:pPr>
    </w:p>
    <w:p w:rsidR="00377767" w:rsidRPr="00710006" w:rsidRDefault="00377767" w:rsidP="00710006">
      <w:pPr>
        <w:pStyle w:val="ad"/>
        <w:spacing w:line="360" w:lineRule="auto"/>
        <w:ind w:left="425"/>
        <w:jc w:val="both"/>
        <w:rPr>
          <w:rFonts w:ascii="Arial" w:hAnsi="Arial"/>
          <w:b/>
          <w:bCs/>
          <w:noProof w:val="0"/>
          <w:u w:val="single"/>
          <w:rtl/>
        </w:rPr>
      </w:pPr>
      <w:r w:rsidRPr="00710006">
        <w:rPr>
          <w:rFonts w:ascii="Arial" w:hAnsi="Arial" w:hint="cs"/>
          <w:b/>
          <w:bCs/>
          <w:noProof w:val="0"/>
          <w:u w:val="single"/>
          <w:rtl/>
        </w:rPr>
        <w:t>דיון והכרעה:</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lastRenderedPageBreak/>
        <w:t xml:space="preserve">ראשית יאמר כי אין מחלוקת בין הצדדים על שניהלו מערכת יחסים של ידועים בציבור. </w:t>
      </w:r>
    </w:p>
    <w:p w:rsidR="00710006" w:rsidRDefault="00710006" w:rsidP="0095191D">
      <w:pPr>
        <w:pStyle w:val="ad"/>
        <w:numPr>
          <w:ilvl w:val="0"/>
          <w:numId w:val="1"/>
        </w:numPr>
        <w:spacing w:line="360" w:lineRule="auto"/>
        <w:ind w:left="425" w:hanging="425"/>
        <w:jc w:val="both"/>
        <w:rPr>
          <w:rFonts w:ascii="Arial" w:hAnsi="Arial"/>
          <w:noProof w:val="0"/>
        </w:rPr>
      </w:pPr>
      <w:r w:rsidRPr="00710006">
        <w:rPr>
          <w:rFonts w:ascii="Arial" w:hAnsi="Arial" w:hint="cs"/>
          <w:noProof w:val="0"/>
          <w:rtl/>
        </w:rPr>
        <w:t>יחד עם זאת</w:t>
      </w:r>
      <w:r w:rsidR="00B8384F">
        <w:rPr>
          <w:rFonts w:ascii="Arial" w:hAnsi="Arial" w:hint="cs"/>
          <w:noProof w:val="0"/>
          <w:rtl/>
        </w:rPr>
        <w:t>,</w:t>
      </w:r>
      <w:r w:rsidRPr="00710006">
        <w:rPr>
          <w:rFonts w:ascii="Arial" w:hAnsi="Arial" w:hint="cs"/>
          <w:noProof w:val="0"/>
          <w:rtl/>
        </w:rPr>
        <w:t xml:space="preserve"> התנהלות הצדדים מאז נפתחו ההליכים בפברואר שנה זו, וטענותיהם זה כלפי זו, כפי שניתן ללמוד גם מההליך דנן אולם ביתר שאת מהליך ה"ט, מובילות למסקנה אחת והיא שמערכת היחסים הזוגית בין הצדדים הגיע</w:t>
      </w:r>
      <w:r w:rsidR="00052F0B">
        <w:rPr>
          <w:rFonts w:ascii="Arial" w:hAnsi="Arial" w:hint="cs"/>
          <w:noProof w:val="0"/>
          <w:rtl/>
        </w:rPr>
        <w:t>ה</w:t>
      </w:r>
      <w:r w:rsidRPr="00710006">
        <w:rPr>
          <w:rFonts w:ascii="Arial" w:hAnsi="Arial" w:hint="cs"/>
          <w:noProof w:val="0"/>
          <w:rtl/>
        </w:rPr>
        <w:t xml:space="preserve"> לקיצה. </w:t>
      </w:r>
    </w:p>
    <w:p w:rsidR="00710006" w:rsidRPr="00710006" w:rsidRDefault="00052F0B" w:rsidP="001A6928">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כך גם אין </w:t>
      </w:r>
      <w:r w:rsidR="00710006" w:rsidRPr="00710006">
        <w:rPr>
          <w:rFonts w:ascii="Arial" w:hAnsi="Arial" w:hint="cs"/>
          <w:noProof w:val="0"/>
          <w:rtl/>
        </w:rPr>
        <w:t xml:space="preserve">מחלוקת, </w:t>
      </w:r>
      <w:r>
        <w:rPr>
          <w:rFonts w:ascii="Arial" w:hAnsi="Arial" w:hint="cs"/>
          <w:noProof w:val="0"/>
          <w:rtl/>
        </w:rPr>
        <w:t xml:space="preserve">ולא יכולה להיות, </w:t>
      </w:r>
      <w:r w:rsidR="00710006" w:rsidRPr="00710006">
        <w:rPr>
          <w:rFonts w:ascii="Arial" w:hAnsi="Arial" w:hint="cs"/>
          <w:noProof w:val="0"/>
          <w:rtl/>
        </w:rPr>
        <w:t>כי דירת</w:t>
      </w:r>
      <w:r w:rsidR="00710006">
        <w:rPr>
          <w:rFonts w:ascii="Arial" w:hAnsi="Arial" w:hint="cs"/>
          <w:noProof w:val="0"/>
          <w:rtl/>
        </w:rPr>
        <w:t xml:space="preserve"> המגורים רשומה על שם התובע בלבד</w:t>
      </w:r>
      <w:r>
        <w:rPr>
          <w:rFonts w:ascii="Arial" w:hAnsi="Arial" w:hint="cs"/>
          <w:noProof w:val="0"/>
          <w:rtl/>
        </w:rPr>
        <w:t>. את זאת ניתן ללמוד מהרישום בפועל, אולם לא רק</w:t>
      </w:r>
      <w:r w:rsidR="001A6928">
        <w:rPr>
          <w:rFonts w:ascii="Arial" w:hAnsi="Arial" w:hint="cs"/>
          <w:noProof w:val="0"/>
          <w:rtl/>
        </w:rPr>
        <w:t>, כי אם גם מד</w:t>
      </w:r>
      <w:r w:rsidR="00710006">
        <w:rPr>
          <w:rFonts w:ascii="Arial" w:hAnsi="Arial" w:hint="cs"/>
          <w:noProof w:val="0"/>
          <w:rtl/>
        </w:rPr>
        <w:t>ברי הצדדים עצמם, לרבות דברי הנתבעת בדיון שהתקיים בהליך הקשור, ביום 15.2.2024 (עמוד 4 שורה 4).</w:t>
      </w:r>
    </w:p>
    <w:p w:rsidR="00710006" w:rsidRDefault="00710006" w:rsidP="00710006">
      <w:pPr>
        <w:pStyle w:val="ad"/>
        <w:numPr>
          <w:ilvl w:val="0"/>
          <w:numId w:val="1"/>
        </w:numPr>
        <w:spacing w:line="360" w:lineRule="auto"/>
        <w:ind w:left="425" w:hanging="425"/>
        <w:jc w:val="both"/>
        <w:rPr>
          <w:rFonts w:ascii="Arial" w:hAnsi="Arial"/>
          <w:noProof w:val="0"/>
        </w:rPr>
      </w:pPr>
      <w:r w:rsidRPr="00710006">
        <w:rPr>
          <w:rFonts w:ascii="Arial" w:hAnsi="Arial" w:hint="cs"/>
          <w:noProof w:val="0"/>
          <w:rtl/>
        </w:rPr>
        <w:t xml:space="preserve">כידוע, היות הצדדים ידועים בציבור אינה מחילה עליהם אוטומטית שיתוף רכושי, אלא להיפך, נטל ההוכחה לשיתוף עומד לרבצו של הטוען לכך, </w:t>
      </w:r>
      <w:r w:rsidR="00A97A29">
        <w:rPr>
          <w:rFonts w:ascii="Arial" w:hAnsi="Arial" w:hint="cs"/>
          <w:noProof w:val="0"/>
          <w:rtl/>
        </w:rPr>
        <w:t xml:space="preserve">ובמקרה דנן על הנתבעת, </w:t>
      </w:r>
      <w:r w:rsidRPr="00710006">
        <w:rPr>
          <w:rFonts w:ascii="Arial" w:hAnsi="Arial" w:hint="cs"/>
          <w:noProof w:val="0"/>
          <w:rtl/>
        </w:rPr>
        <w:t xml:space="preserve">בוודאי כאשר מדובר </w:t>
      </w:r>
      <w:r>
        <w:rPr>
          <w:rFonts w:ascii="Arial" w:hAnsi="Arial" w:hint="cs"/>
          <w:noProof w:val="0"/>
          <w:rtl/>
        </w:rPr>
        <w:t xml:space="preserve">בנכסים </w:t>
      </w:r>
      <w:r w:rsidRPr="00710006">
        <w:rPr>
          <w:rFonts w:ascii="Arial" w:hAnsi="Arial" w:hint="cs"/>
          <w:noProof w:val="0"/>
          <w:rtl/>
        </w:rPr>
        <w:t>שנצבר</w:t>
      </w:r>
      <w:r>
        <w:rPr>
          <w:rFonts w:ascii="Arial" w:hAnsi="Arial" w:hint="cs"/>
          <w:noProof w:val="0"/>
          <w:rtl/>
        </w:rPr>
        <w:t>ו</w:t>
      </w:r>
      <w:r w:rsidRPr="00710006">
        <w:rPr>
          <w:rFonts w:ascii="Arial" w:hAnsi="Arial" w:hint="cs"/>
          <w:noProof w:val="0"/>
          <w:rtl/>
        </w:rPr>
        <w:t xml:space="preserve"> על ידי אחד מבני הזוג </w:t>
      </w:r>
      <w:r>
        <w:rPr>
          <w:rFonts w:ascii="Arial" w:hAnsi="Arial" w:hint="cs"/>
          <w:noProof w:val="0"/>
          <w:rtl/>
        </w:rPr>
        <w:t>עוד בטרם החיים המשותפים.</w:t>
      </w:r>
    </w:p>
    <w:p w:rsidR="00710006" w:rsidRPr="00E32A86" w:rsidRDefault="00710006" w:rsidP="00710006">
      <w:pPr>
        <w:pStyle w:val="ad"/>
        <w:numPr>
          <w:ilvl w:val="0"/>
          <w:numId w:val="1"/>
        </w:numPr>
        <w:shd w:val="clear" w:color="auto" w:fill="FFFFFF"/>
        <w:spacing w:before="180" w:after="180" w:line="360" w:lineRule="auto"/>
        <w:ind w:left="425" w:hanging="425"/>
        <w:jc w:val="both"/>
        <w:rPr>
          <w:rFonts w:ascii="David" w:hAnsi="David"/>
          <w:noProof w:val="0"/>
        </w:rPr>
      </w:pPr>
      <w:r w:rsidRPr="00710006">
        <w:rPr>
          <w:rFonts w:ascii="Arial" w:hAnsi="Arial" w:hint="cs"/>
          <w:noProof w:val="0"/>
          <w:rtl/>
        </w:rPr>
        <w:t>בית המשפט אינו יכול לקבל את טענות התובע לפיהן כתב ההגנה אינו מגלה כל עילת הגנה</w:t>
      </w:r>
      <w:r w:rsidR="00116DBD">
        <w:rPr>
          <w:rFonts w:ascii="Arial" w:hAnsi="Arial" w:hint="cs"/>
          <w:noProof w:val="0"/>
          <w:rtl/>
        </w:rPr>
        <w:t xml:space="preserve"> עד כי נין להורות כבר כעת, על סילוק הנתבעת מדירת המגורים</w:t>
      </w:r>
      <w:r w:rsidRPr="00710006">
        <w:rPr>
          <w:rFonts w:ascii="Arial" w:hAnsi="Arial" w:hint="cs"/>
          <w:noProof w:val="0"/>
          <w:rtl/>
        </w:rPr>
        <w:t xml:space="preserve">, כאשר הועלו טענות לשיתוף ספציפי. אומנם </w:t>
      </w:r>
      <w:r w:rsidRPr="00710006">
        <w:rPr>
          <w:rFonts w:ascii="David" w:hAnsi="David"/>
          <w:color w:val="000000"/>
          <w:rtl/>
        </w:rPr>
        <w:t xml:space="preserve">לצורך החלת שיתוף </w:t>
      </w:r>
      <w:r w:rsidRPr="00710006">
        <w:rPr>
          <w:rFonts w:hint="cs"/>
          <w:rtl/>
        </w:rPr>
        <w:t xml:space="preserve">ספציפי </w:t>
      </w:r>
      <w:r w:rsidRPr="00710006">
        <w:rPr>
          <w:rtl/>
        </w:rPr>
        <w:t>תידרש ראיה נוספת</w:t>
      </w:r>
      <w:r w:rsidRPr="00710006">
        <w:rPr>
          <w:rFonts w:ascii="David" w:hAnsi="David"/>
          <w:color w:val="000000"/>
          <w:rtl/>
        </w:rPr>
        <w:t> </w:t>
      </w:r>
      <w:r w:rsidRPr="00710006">
        <w:rPr>
          <w:rFonts w:hint="cs"/>
          <w:rtl/>
        </w:rPr>
        <w:t xml:space="preserve"> או הוכחת </w:t>
      </w:r>
      <w:r w:rsidRPr="00710006">
        <w:rPr>
          <w:rtl/>
        </w:rPr>
        <w:t>כוונת שיתוף מפורשת</w:t>
      </w:r>
      <w:r>
        <w:rPr>
          <w:rFonts w:ascii="David" w:hAnsi="David"/>
          <w:color w:val="000000"/>
        </w:rPr>
        <w:t xml:space="preserve"> </w:t>
      </w:r>
      <w:r>
        <w:rPr>
          <w:rFonts w:ascii="David" w:hAnsi="David" w:hint="cs"/>
          <w:color w:val="000000"/>
          <w:rtl/>
        </w:rPr>
        <w:t>ב</w:t>
      </w:r>
      <w:r w:rsidRPr="00710006">
        <w:rPr>
          <w:rFonts w:ascii="David" w:hAnsi="David"/>
          <w:color w:val="000000"/>
          <w:rtl/>
        </w:rPr>
        <w:t>נכס המסוים (או בכלל נכסיו) של בן-הז</w:t>
      </w:r>
      <w:r>
        <w:rPr>
          <w:rFonts w:ascii="David" w:hAnsi="David" w:hint="cs"/>
          <w:color w:val="000000"/>
          <w:rtl/>
        </w:rPr>
        <w:t>וג (</w:t>
      </w:r>
      <w:r w:rsidRPr="00710006">
        <w:rPr>
          <w:rFonts w:ascii="David" w:hAnsi="David" w:hint="cs"/>
          <w:color w:val="000000"/>
          <w:rtl/>
        </w:rPr>
        <w:t xml:space="preserve">ולענין זה ראו </w:t>
      </w:r>
      <w:r w:rsidRPr="00710006">
        <w:rPr>
          <w:rFonts w:ascii="David" w:hAnsi="David"/>
          <w:color w:val="000000"/>
          <w:rtl/>
        </w:rPr>
        <w:t>ע"א 4385/91 </w:t>
      </w:r>
      <w:r w:rsidRPr="00E32A86">
        <w:rPr>
          <w:rFonts w:ascii="David" w:hAnsi="David"/>
          <w:b/>
          <w:bCs/>
          <w:rtl/>
        </w:rPr>
        <w:t>סלם</w:t>
      </w:r>
      <w:r w:rsidRPr="00E32A86">
        <w:rPr>
          <w:rStyle w:val="ae"/>
          <w:rFonts w:ascii="David" w:hAnsi="David"/>
          <w:color w:val="000000"/>
          <w:rtl/>
        </w:rPr>
        <w:t xml:space="preserve"> נ' כרמי</w:t>
      </w:r>
      <w:r w:rsidRPr="00E32A86">
        <w:rPr>
          <w:rFonts w:ascii="David" w:hAnsi="David"/>
          <w:color w:val="000000"/>
          <w:rtl/>
        </w:rPr>
        <w:t xml:space="preserve"> פ"ד נא(1)337 וגם ע"א 52/80 </w:t>
      </w:r>
      <w:r w:rsidRPr="00E32A86">
        <w:rPr>
          <w:rFonts w:ascii="David" w:hAnsi="David"/>
          <w:b/>
          <w:bCs/>
          <w:color w:val="000000"/>
          <w:rtl/>
        </w:rPr>
        <w:t>שחר נ' פרידמן</w:t>
      </w:r>
      <w:r w:rsidRPr="00E32A86">
        <w:rPr>
          <w:rFonts w:ascii="David" w:hAnsi="David"/>
          <w:color w:val="000000"/>
          <w:rtl/>
        </w:rPr>
        <w:t xml:space="preserve"> פ"ד ל"ח(1) 433), אולם את </w:t>
      </w:r>
      <w:r w:rsidR="009144E5">
        <w:rPr>
          <w:rFonts w:ascii="David" w:hAnsi="David"/>
          <w:color w:val="000000"/>
          <w:rtl/>
        </w:rPr>
        <w:t>זאת בית המשפט יבחן בהמשך ההליך.</w:t>
      </w:r>
    </w:p>
    <w:p w:rsidR="00710006" w:rsidRPr="00710006" w:rsidRDefault="00710006" w:rsidP="008154C8">
      <w:pPr>
        <w:pStyle w:val="ad"/>
        <w:numPr>
          <w:ilvl w:val="0"/>
          <w:numId w:val="1"/>
        </w:numPr>
        <w:shd w:val="clear" w:color="auto" w:fill="FFFFFF"/>
        <w:spacing w:before="180" w:after="180" w:line="360" w:lineRule="auto"/>
        <w:ind w:left="425" w:hanging="425"/>
        <w:jc w:val="both"/>
        <w:rPr>
          <w:rFonts w:ascii="Arial" w:hAnsi="Arial"/>
          <w:noProof w:val="0"/>
        </w:rPr>
      </w:pPr>
      <w:r w:rsidRPr="00710006">
        <w:rPr>
          <w:rFonts w:ascii="David" w:hAnsi="David" w:hint="cs"/>
          <w:color w:val="000000"/>
          <w:rtl/>
        </w:rPr>
        <w:t xml:space="preserve">כך גם </w:t>
      </w:r>
      <w:r>
        <w:rPr>
          <w:rFonts w:ascii="David" w:hAnsi="David" w:hint="cs"/>
          <w:color w:val="000000"/>
          <w:rtl/>
        </w:rPr>
        <w:t xml:space="preserve">יש לבחון את טענות הנתבעת </w:t>
      </w:r>
      <w:r w:rsidR="00116DBD">
        <w:rPr>
          <w:rFonts w:ascii="Arial" w:hAnsi="Arial" w:hint="cs"/>
          <w:noProof w:val="0"/>
          <w:rtl/>
        </w:rPr>
        <w:t>כנגד</w:t>
      </w:r>
      <w:r>
        <w:rPr>
          <w:rFonts w:ascii="Arial" w:hAnsi="Arial" w:hint="cs"/>
          <w:noProof w:val="0"/>
          <w:rtl/>
        </w:rPr>
        <w:t xml:space="preserve"> הסכם הממון</w:t>
      </w:r>
      <w:r w:rsidRPr="00710006">
        <w:rPr>
          <w:rFonts w:ascii="Arial" w:hAnsi="Arial" w:hint="cs"/>
          <w:noProof w:val="0"/>
          <w:rtl/>
        </w:rPr>
        <w:t>.</w:t>
      </w:r>
    </w:p>
    <w:p w:rsidR="00710006" w:rsidRDefault="00710006" w:rsidP="00DD16F8">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יחד עם זאת, בית המשפט מקבל את בקשת התובע לחיוב הנתבעת בדמי שימוש, </w:t>
      </w:r>
      <w:r w:rsidR="00DD16F8">
        <w:rPr>
          <w:rFonts w:ascii="Arial" w:hAnsi="Arial" w:hint="cs"/>
          <w:noProof w:val="0"/>
          <w:rtl/>
        </w:rPr>
        <w:t>מכל אחת מהסיבות המפורטות מטה, ובוודאי ממשקלן המצטבר, כדלהלן</w:t>
      </w:r>
      <w:r>
        <w:rPr>
          <w:rFonts w:ascii="Arial" w:hAnsi="Arial" w:hint="cs"/>
          <w:noProof w:val="0"/>
          <w:rtl/>
        </w:rPr>
        <w:t>:</w:t>
      </w:r>
    </w:p>
    <w:p w:rsidR="00710006" w:rsidRDefault="00E32A86" w:rsidP="00710006">
      <w:pPr>
        <w:pStyle w:val="ad"/>
        <w:numPr>
          <w:ilvl w:val="0"/>
          <w:numId w:val="2"/>
        </w:numPr>
        <w:spacing w:line="360" w:lineRule="auto"/>
        <w:jc w:val="both"/>
        <w:rPr>
          <w:rFonts w:ascii="Arial" w:hAnsi="Arial"/>
          <w:noProof w:val="0"/>
        </w:rPr>
      </w:pPr>
      <w:r w:rsidRPr="002819E0">
        <w:rPr>
          <w:rFonts w:ascii="Arial" w:hAnsi="Arial" w:hint="cs"/>
          <w:b/>
          <w:bCs/>
          <w:noProof w:val="0"/>
          <w:rtl/>
        </w:rPr>
        <w:t xml:space="preserve">אין </w:t>
      </w:r>
      <w:r w:rsidR="002819E0" w:rsidRPr="002819E0">
        <w:rPr>
          <w:rFonts w:ascii="Arial" w:hAnsi="Arial" w:hint="cs"/>
          <w:b/>
          <w:bCs/>
          <w:noProof w:val="0"/>
          <w:rtl/>
        </w:rPr>
        <w:t>מדובר בסעד עיקרי</w:t>
      </w:r>
      <w:r w:rsidR="002819E0">
        <w:rPr>
          <w:rFonts w:ascii="Arial" w:hAnsi="Arial" w:hint="cs"/>
          <w:noProof w:val="0"/>
          <w:rtl/>
        </w:rPr>
        <w:t xml:space="preserve"> - </w:t>
      </w:r>
      <w:r w:rsidR="00710006">
        <w:rPr>
          <w:rFonts w:ascii="Arial" w:hAnsi="Arial" w:hint="cs"/>
          <w:noProof w:val="0"/>
          <w:rtl/>
        </w:rPr>
        <w:t>בניגוד לטענת הנתבעת אין זה הסעד העיקרי של כתב התביעה, שהרי הסעד העיקרי הינו פינוי וסילוק.</w:t>
      </w:r>
    </w:p>
    <w:p w:rsidR="00710006" w:rsidRDefault="002819E0" w:rsidP="009144E5">
      <w:pPr>
        <w:pStyle w:val="ad"/>
        <w:numPr>
          <w:ilvl w:val="0"/>
          <w:numId w:val="2"/>
        </w:numPr>
        <w:spacing w:line="360" w:lineRule="auto"/>
        <w:jc w:val="both"/>
        <w:rPr>
          <w:rFonts w:ascii="Arial" w:hAnsi="Arial"/>
          <w:noProof w:val="0"/>
        </w:rPr>
      </w:pPr>
      <w:r w:rsidRPr="002819E0">
        <w:rPr>
          <w:rFonts w:ascii="Arial" w:hAnsi="Arial" w:hint="cs"/>
          <w:b/>
          <w:bCs/>
          <w:noProof w:val="0"/>
          <w:rtl/>
        </w:rPr>
        <w:lastRenderedPageBreak/>
        <w:t>התובע רשום כבעלים בלעדי של דירת המגורים</w:t>
      </w:r>
      <w:r>
        <w:rPr>
          <w:rFonts w:ascii="Arial" w:hAnsi="Arial" w:hint="cs"/>
          <w:noProof w:val="0"/>
          <w:rtl/>
        </w:rPr>
        <w:t xml:space="preserve"> - </w:t>
      </w:r>
      <w:r w:rsidR="00710006">
        <w:rPr>
          <w:rFonts w:ascii="Arial" w:hAnsi="Arial" w:hint="cs"/>
          <w:noProof w:val="0"/>
          <w:rtl/>
        </w:rPr>
        <w:t xml:space="preserve">בהתאם לעובדות שעומדות בפני בית המשפט כיום, עליהן אין מחלוקת, דירת המגורים בה מתגוררת הנתבעת, הינה דירה בבעלות </w:t>
      </w:r>
      <w:r w:rsidR="009144E5">
        <w:rPr>
          <w:rFonts w:ascii="Arial" w:hAnsi="Arial" w:hint="cs"/>
          <w:noProof w:val="0"/>
          <w:rtl/>
        </w:rPr>
        <w:t>מלאה</w:t>
      </w:r>
      <w:r w:rsidR="00710006">
        <w:rPr>
          <w:rFonts w:ascii="Arial" w:hAnsi="Arial" w:hint="cs"/>
          <w:noProof w:val="0"/>
          <w:rtl/>
        </w:rPr>
        <w:t xml:space="preserve"> של התובע.</w:t>
      </w:r>
    </w:p>
    <w:p w:rsidR="00116DBD" w:rsidRDefault="00116DBD" w:rsidP="009353BC">
      <w:pPr>
        <w:pStyle w:val="ad"/>
        <w:numPr>
          <w:ilvl w:val="0"/>
          <w:numId w:val="2"/>
        </w:numPr>
        <w:spacing w:line="360" w:lineRule="auto"/>
        <w:jc w:val="both"/>
        <w:rPr>
          <w:rFonts w:ascii="Arial" w:hAnsi="Arial"/>
          <w:noProof w:val="0"/>
        </w:rPr>
      </w:pPr>
      <w:r>
        <w:rPr>
          <w:rFonts w:ascii="Arial" w:hAnsi="Arial" w:hint="cs"/>
          <w:b/>
          <w:bCs/>
          <w:noProof w:val="0"/>
          <w:rtl/>
        </w:rPr>
        <w:t xml:space="preserve">הסכם ממון </w:t>
      </w:r>
      <w:r>
        <w:rPr>
          <w:rFonts w:ascii="Arial" w:hAnsi="Arial"/>
          <w:b/>
          <w:bCs/>
          <w:noProof w:val="0"/>
          <w:rtl/>
        </w:rPr>
        <w:t>–</w:t>
      </w:r>
      <w:r>
        <w:rPr>
          <w:rFonts w:ascii="Arial" w:hAnsi="Arial" w:hint="cs"/>
          <w:b/>
          <w:bCs/>
          <w:noProof w:val="0"/>
          <w:rtl/>
        </w:rPr>
        <w:t xml:space="preserve"> </w:t>
      </w:r>
      <w:r w:rsidRPr="00116DBD">
        <w:rPr>
          <w:rFonts w:ascii="Arial" w:hAnsi="Arial" w:hint="cs"/>
          <w:noProof w:val="0"/>
          <w:rtl/>
        </w:rPr>
        <w:t xml:space="preserve">מבלי להיכנס לטענות הצדדים, שאלה כאמור יבחנו בהמשך ההליך, </w:t>
      </w:r>
      <w:r>
        <w:rPr>
          <w:rFonts w:ascii="Arial" w:hAnsi="Arial" w:hint="cs"/>
          <w:noProof w:val="0"/>
          <w:rtl/>
        </w:rPr>
        <w:t>עומד בפני בית המשפט ה</w:t>
      </w:r>
      <w:r w:rsidRPr="00116DBD">
        <w:rPr>
          <w:rFonts w:ascii="Arial" w:hAnsi="Arial" w:hint="cs"/>
          <w:noProof w:val="0"/>
          <w:rtl/>
        </w:rPr>
        <w:t>סכם ממון בין הצדדים</w:t>
      </w:r>
      <w:r>
        <w:rPr>
          <w:rFonts w:ascii="Arial" w:hAnsi="Arial" w:hint="cs"/>
          <w:noProof w:val="0"/>
          <w:rtl/>
        </w:rPr>
        <w:t>, ובו סעי</w:t>
      </w:r>
      <w:r w:rsidR="0005421C">
        <w:rPr>
          <w:rFonts w:ascii="Arial" w:hAnsi="Arial" w:hint="cs"/>
          <w:noProof w:val="0"/>
          <w:rtl/>
        </w:rPr>
        <w:t xml:space="preserve">פים רבים בדבר הפרדה רכושית, לרבות לענין דירת המגורים. </w:t>
      </w:r>
      <w:r>
        <w:rPr>
          <w:rFonts w:ascii="Arial" w:hAnsi="Arial" w:hint="cs"/>
          <w:noProof w:val="0"/>
          <w:rtl/>
        </w:rPr>
        <w:t>עד אשר לא הוכח אחרת, לא ניתן להת</w:t>
      </w:r>
      <w:r w:rsidR="007017EC">
        <w:rPr>
          <w:rFonts w:ascii="Arial" w:hAnsi="Arial" w:hint="cs"/>
          <w:noProof w:val="0"/>
          <w:rtl/>
        </w:rPr>
        <w:t>ע</w:t>
      </w:r>
      <w:r w:rsidR="009353BC">
        <w:rPr>
          <w:rFonts w:ascii="Arial" w:hAnsi="Arial" w:hint="cs"/>
          <w:noProof w:val="0"/>
          <w:rtl/>
        </w:rPr>
        <w:t>לם מהאמור ב</w:t>
      </w:r>
      <w:r w:rsidR="008154C8">
        <w:rPr>
          <w:rFonts w:ascii="Arial" w:hAnsi="Arial" w:hint="cs"/>
          <w:noProof w:val="0"/>
          <w:rtl/>
        </w:rPr>
        <w:t>הסכם הממון</w:t>
      </w:r>
      <w:r>
        <w:rPr>
          <w:rFonts w:ascii="Arial" w:hAnsi="Arial" w:hint="cs"/>
          <w:noProof w:val="0"/>
          <w:rtl/>
        </w:rPr>
        <w:t>.</w:t>
      </w:r>
    </w:p>
    <w:p w:rsidR="00DD16F8" w:rsidRPr="00116DBD" w:rsidRDefault="00DD16F8" w:rsidP="00D078BB">
      <w:pPr>
        <w:pStyle w:val="ad"/>
        <w:numPr>
          <w:ilvl w:val="0"/>
          <w:numId w:val="2"/>
        </w:numPr>
        <w:spacing w:line="360" w:lineRule="auto"/>
        <w:jc w:val="both"/>
        <w:rPr>
          <w:rFonts w:ascii="Arial" w:hAnsi="Arial"/>
          <w:noProof w:val="0"/>
        </w:rPr>
      </w:pPr>
      <w:r>
        <w:rPr>
          <w:rFonts w:ascii="Arial" w:hAnsi="Arial" w:hint="cs"/>
          <w:b/>
          <w:bCs/>
          <w:noProof w:val="0"/>
          <w:rtl/>
        </w:rPr>
        <w:t xml:space="preserve">לא עומדת ותלויה תביעה של הנתבעת לגבי זכויות בדירת המגורים </w:t>
      </w:r>
      <w:r>
        <w:rPr>
          <w:rFonts w:ascii="Arial" w:hAnsi="Arial"/>
          <w:b/>
          <w:bCs/>
          <w:noProof w:val="0"/>
          <w:rtl/>
        </w:rPr>
        <w:t>–</w:t>
      </w:r>
      <w:r>
        <w:rPr>
          <w:rFonts w:ascii="Arial" w:hAnsi="Arial" w:hint="cs"/>
          <w:noProof w:val="0"/>
          <w:rtl/>
        </w:rPr>
        <w:t xml:space="preserve"> הנתבעת הגישה תביעה </w:t>
      </w:r>
      <w:r w:rsidR="00D078BB">
        <w:rPr>
          <w:rFonts w:ascii="Arial" w:hAnsi="Arial" w:hint="cs"/>
          <w:noProof w:val="0"/>
          <w:rtl/>
        </w:rPr>
        <w:t xml:space="preserve">כספית רכושית </w:t>
      </w:r>
      <w:r>
        <w:rPr>
          <w:rFonts w:ascii="Arial" w:hAnsi="Arial" w:hint="cs"/>
          <w:noProof w:val="0"/>
          <w:rtl/>
        </w:rPr>
        <w:t>לאיזון זכויות</w:t>
      </w:r>
      <w:r w:rsidR="00D078BB">
        <w:rPr>
          <w:rFonts w:ascii="Arial" w:hAnsi="Arial" w:hint="cs"/>
          <w:noProof w:val="0"/>
          <w:rtl/>
        </w:rPr>
        <w:t xml:space="preserve"> וכספים, ולא לבעלות בדירת המגורים. </w:t>
      </w:r>
    </w:p>
    <w:p w:rsidR="008154C8" w:rsidRDefault="00710006" w:rsidP="008154C8">
      <w:pPr>
        <w:pStyle w:val="ad"/>
        <w:numPr>
          <w:ilvl w:val="0"/>
          <w:numId w:val="2"/>
        </w:numPr>
        <w:spacing w:line="360" w:lineRule="auto"/>
        <w:jc w:val="both"/>
        <w:rPr>
          <w:rFonts w:ascii="Arial" w:hAnsi="Arial"/>
          <w:noProof w:val="0"/>
        </w:rPr>
      </w:pPr>
      <w:r w:rsidRPr="002819E0">
        <w:rPr>
          <w:rFonts w:ascii="Arial" w:hAnsi="Arial" w:hint="cs"/>
          <w:b/>
          <w:bCs/>
          <w:noProof w:val="0"/>
          <w:rtl/>
        </w:rPr>
        <w:t>מערכת היחסים בין הצדדים הסתיימה</w:t>
      </w:r>
      <w:r w:rsidR="002819E0">
        <w:rPr>
          <w:rFonts w:ascii="Arial" w:hAnsi="Arial" w:hint="cs"/>
          <w:noProof w:val="0"/>
          <w:rtl/>
        </w:rPr>
        <w:t xml:space="preserve"> </w:t>
      </w:r>
      <w:r w:rsidR="002819E0">
        <w:rPr>
          <w:rFonts w:ascii="Arial" w:hAnsi="Arial"/>
          <w:noProof w:val="0"/>
          <w:rtl/>
        </w:rPr>
        <w:t>–</w:t>
      </w:r>
      <w:r w:rsidR="002819E0">
        <w:rPr>
          <w:rFonts w:ascii="Arial" w:hAnsi="Arial" w:hint="cs"/>
          <w:noProof w:val="0"/>
          <w:rtl/>
        </w:rPr>
        <w:t xml:space="preserve"> כאמור מעלה מערכת היחסים הזוגית בין הצדדים הסתיימה</w:t>
      </w:r>
      <w:r>
        <w:rPr>
          <w:rFonts w:ascii="Arial" w:hAnsi="Arial" w:hint="cs"/>
          <w:noProof w:val="0"/>
          <w:rtl/>
        </w:rPr>
        <w:t>, ובהשלכה ל</w:t>
      </w:r>
      <w:r w:rsidR="005C7701">
        <w:rPr>
          <w:rFonts w:ascii="Arial" w:hAnsi="Arial" w:hint="cs"/>
          <w:noProof w:val="0"/>
          <w:rtl/>
        </w:rPr>
        <w:t xml:space="preserve">הלכה בדבר </w:t>
      </w:r>
      <w:r>
        <w:rPr>
          <w:rFonts w:ascii="Arial" w:hAnsi="Arial" w:hint="cs"/>
          <w:noProof w:val="0"/>
          <w:rtl/>
        </w:rPr>
        <w:t xml:space="preserve">חיוב בדמי שימוש לאחר מתן </w:t>
      </w:r>
      <w:r w:rsidRPr="002819E0">
        <w:rPr>
          <w:rFonts w:ascii="Arial" w:hAnsi="Arial" w:hint="cs"/>
          <w:noProof w:val="0"/>
          <w:rtl/>
        </w:rPr>
        <w:t>גט</w:t>
      </w:r>
      <w:r w:rsidR="00AF2A93" w:rsidRPr="002819E0">
        <w:rPr>
          <w:rFonts w:ascii="Arial" w:hAnsi="Arial" w:hint="cs"/>
          <w:noProof w:val="0"/>
          <w:rtl/>
        </w:rPr>
        <w:t xml:space="preserve"> (ראו: </w:t>
      </w:r>
      <w:r w:rsidR="00AF2A93" w:rsidRPr="002819E0">
        <w:rPr>
          <w:color w:val="000000"/>
          <w:rtl/>
        </w:rPr>
        <w:t xml:space="preserve">בע"מ 5357/06 </w:t>
      </w:r>
      <w:r w:rsidR="00AF2A93" w:rsidRPr="002819E0">
        <w:rPr>
          <w:rFonts w:ascii="Miriam" w:hAnsi="Miriam" w:cs="Miriam"/>
          <w:b/>
          <w:bCs/>
          <w:color w:val="000000"/>
          <w:rtl/>
        </w:rPr>
        <w:t>פלוני נ' פלוני</w:t>
      </w:r>
      <w:r w:rsidR="00AF2A93" w:rsidRPr="002819E0">
        <w:rPr>
          <w:color w:val="000000"/>
          <w:rtl/>
        </w:rPr>
        <w:t xml:space="preserve"> (פורסם במאגרים, [פורסם בנבו], 22/10/06) ; תמ"ש (נצ') 4550/07</w:t>
      </w:r>
      <w:r w:rsidR="00AF2A93" w:rsidRPr="002819E0">
        <w:rPr>
          <w:rFonts w:hint="cs"/>
          <w:color w:val="000000"/>
          <w:rtl/>
        </w:rPr>
        <w:t xml:space="preserve"> </w:t>
      </w:r>
      <w:r w:rsidR="00AF2A93" w:rsidRPr="002819E0">
        <w:rPr>
          <w:rFonts w:ascii="Miriam" w:hAnsi="Miriam" w:cs="Miriam"/>
          <w:b/>
          <w:bCs/>
          <w:color w:val="000000"/>
          <w:rtl/>
        </w:rPr>
        <w:t>נ.א. נ' א.א.</w:t>
      </w:r>
      <w:r w:rsidR="00AF2A93" w:rsidRPr="002819E0">
        <w:rPr>
          <w:color w:val="000000"/>
          <w:rtl/>
        </w:rPr>
        <w:t xml:space="preserve"> (29/03/2011, פורסם במאגרים [פורסם בנבו] ) ; תמ"ש (ת"א) 22245/95 </w:t>
      </w:r>
      <w:r w:rsidR="00AF2A93" w:rsidRPr="002819E0">
        <w:rPr>
          <w:rFonts w:ascii="Miriam" w:hAnsi="Miriam" w:cs="Miriam"/>
          <w:b/>
          <w:bCs/>
          <w:color w:val="000000"/>
          <w:rtl/>
        </w:rPr>
        <w:t>פלוני נ' אלמונית</w:t>
      </w:r>
      <w:r w:rsidR="00AF2A93" w:rsidRPr="002819E0">
        <w:rPr>
          <w:color w:val="000000"/>
          <w:rtl/>
        </w:rPr>
        <w:t xml:space="preserve"> (9.12.07, פורסם במאגרים [פורסם בנבו]))</w:t>
      </w:r>
      <w:r w:rsidR="00E32A86" w:rsidRPr="002819E0">
        <w:rPr>
          <w:rFonts w:hint="cs"/>
          <w:color w:val="000000"/>
          <w:rtl/>
        </w:rPr>
        <w:t xml:space="preserve">, סבור בית משפט זה כי </w:t>
      </w:r>
      <w:r w:rsidR="002819E0" w:rsidRPr="002819E0">
        <w:rPr>
          <w:rFonts w:ascii="Arial" w:hAnsi="Arial" w:hint="cs"/>
          <w:noProof w:val="0"/>
          <w:rtl/>
        </w:rPr>
        <w:t>מאז סי</w:t>
      </w:r>
      <w:r w:rsidR="002819E0">
        <w:rPr>
          <w:rFonts w:ascii="Arial" w:hAnsi="Arial" w:hint="cs"/>
          <w:noProof w:val="0"/>
          <w:rtl/>
        </w:rPr>
        <w:t>ום המערכת הזוגית</w:t>
      </w:r>
      <w:r w:rsidR="002819E0">
        <w:rPr>
          <w:rFonts w:hint="cs"/>
          <w:color w:val="000000"/>
          <w:rtl/>
        </w:rPr>
        <w:t xml:space="preserve">, יש </w:t>
      </w:r>
      <w:r>
        <w:rPr>
          <w:rFonts w:ascii="Arial" w:hAnsi="Arial" w:hint="cs"/>
          <w:noProof w:val="0"/>
          <w:rtl/>
        </w:rPr>
        <w:t xml:space="preserve">מקום </w:t>
      </w:r>
      <w:r w:rsidR="008154C8">
        <w:rPr>
          <w:rFonts w:ascii="Arial" w:hAnsi="Arial" w:hint="cs"/>
          <w:noProof w:val="0"/>
          <w:rtl/>
        </w:rPr>
        <w:t>לעתירה לחיוב ב</w:t>
      </w:r>
      <w:r w:rsidR="002819E0">
        <w:rPr>
          <w:rFonts w:ascii="Arial" w:hAnsi="Arial" w:hint="cs"/>
          <w:noProof w:val="0"/>
          <w:rtl/>
        </w:rPr>
        <w:t>דמי שימוש</w:t>
      </w:r>
      <w:r w:rsidR="008154C8">
        <w:rPr>
          <w:rFonts w:ascii="Arial" w:hAnsi="Arial" w:hint="cs"/>
          <w:noProof w:val="0"/>
          <w:rtl/>
        </w:rPr>
        <w:t>.</w:t>
      </w:r>
    </w:p>
    <w:p w:rsidR="002D0580" w:rsidRPr="002D0580" w:rsidRDefault="008154C8" w:rsidP="009353BC">
      <w:pPr>
        <w:pStyle w:val="ad"/>
        <w:numPr>
          <w:ilvl w:val="0"/>
          <w:numId w:val="1"/>
        </w:numPr>
        <w:spacing w:line="360" w:lineRule="auto"/>
        <w:ind w:left="425" w:hanging="425"/>
        <w:jc w:val="both"/>
        <w:rPr>
          <w:rFonts w:ascii="Arial" w:hAnsi="Arial"/>
          <w:noProof w:val="0"/>
        </w:rPr>
      </w:pPr>
      <w:r w:rsidRPr="002D0580">
        <w:rPr>
          <w:rFonts w:ascii="Arial" w:hAnsi="Arial" w:hint="cs"/>
          <w:noProof w:val="0"/>
          <w:rtl/>
        </w:rPr>
        <w:t xml:space="preserve">בית המשפט אינו מתעלם מהדין והפסיקה לגבי חיוב בדמי שימוש כאשר יש מניעה לצד א', מאת צד ב', לעשות שימוש בדירה משותפת, מה שלא קיים במקרה דנן, שהרי בפועל הצדדים מתגוררים יחדיו באותה הדירה. יחד עם זאת </w:t>
      </w:r>
      <w:r w:rsidR="007410D3" w:rsidRPr="002D0580">
        <w:rPr>
          <w:rFonts w:ascii="Arial" w:hAnsi="Arial" w:hint="cs"/>
          <w:noProof w:val="0"/>
          <w:rtl/>
        </w:rPr>
        <w:t>הפסיקה קבעה כי כאשר קיים הסכם בין הצדדים, בו הסכימו במפורש כי יוכלו להתגורר בפועל בדירה עד שיבוצע פירוק שיתוף, וצד אחד מונע את פירוק השיתו</w:t>
      </w:r>
      <w:r w:rsidR="002D0580" w:rsidRPr="002D0580">
        <w:rPr>
          <w:rFonts w:ascii="Arial" w:hAnsi="Arial" w:hint="cs"/>
          <w:noProof w:val="0"/>
          <w:rtl/>
        </w:rPr>
        <w:t>ף</w:t>
      </w:r>
      <w:r w:rsidR="007410D3" w:rsidRPr="002D0580">
        <w:rPr>
          <w:rFonts w:ascii="Arial" w:hAnsi="Arial" w:hint="cs"/>
          <w:noProof w:val="0"/>
          <w:rtl/>
        </w:rPr>
        <w:t>, יכול שהפן ההסכמי יגבור על הפן הקנייני</w:t>
      </w:r>
      <w:r w:rsidR="002D0580" w:rsidRPr="002D0580">
        <w:rPr>
          <w:rFonts w:ascii="Arial" w:hAnsi="Arial" w:hint="cs"/>
          <w:noProof w:val="0"/>
          <w:rtl/>
        </w:rPr>
        <w:t xml:space="preserve">. </w:t>
      </w:r>
      <w:r w:rsidR="007410D3" w:rsidRPr="002D0580">
        <w:rPr>
          <w:rFonts w:ascii="Arial" w:hAnsi="Arial" w:hint="cs"/>
          <w:noProof w:val="0"/>
          <w:rtl/>
        </w:rPr>
        <w:t>במילים אחרות, כאשר אחד מבני הזוג מאריך, מטעמיו שלו, את תקופת השיתוף, בין במישרין ובין בעקיפין, בעוד בן הזוג האחר מבקש פירוק שיתו</w:t>
      </w:r>
      <w:r w:rsidR="002D0580" w:rsidRPr="002D0580">
        <w:rPr>
          <w:rFonts w:ascii="Arial" w:hAnsi="Arial" w:hint="cs"/>
          <w:noProof w:val="0"/>
          <w:rtl/>
        </w:rPr>
        <w:t>ף</w:t>
      </w:r>
      <w:r w:rsidR="007410D3" w:rsidRPr="002D0580">
        <w:rPr>
          <w:rFonts w:ascii="Arial" w:hAnsi="Arial" w:hint="cs"/>
          <w:noProof w:val="0"/>
          <w:rtl/>
        </w:rPr>
        <w:t xml:space="preserve">, הדבר </w:t>
      </w:r>
      <w:r w:rsidR="009353BC">
        <w:rPr>
          <w:rFonts w:ascii="Arial" w:hAnsi="Arial" w:hint="cs"/>
          <w:noProof w:val="0"/>
          <w:rtl/>
        </w:rPr>
        <w:t>יכול</w:t>
      </w:r>
      <w:r w:rsidR="007410D3" w:rsidRPr="002D0580">
        <w:rPr>
          <w:rFonts w:ascii="Arial" w:hAnsi="Arial" w:hint="cs"/>
          <w:noProof w:val="0"/>
          <w:rtl/>
        </w:rPr>
        <w:t xml:space="preserve"> להקים חיוב בדמי שימוש. </w:t>
      </w:r>
      <w:r w:rsidR="002D0580" w:rsidRPr="002D0580">
        <w:rPr>
          <w:rFonts w:ascii="Arial" w:hAnsi="Arial" w:hint="cs"/>
          <w:noProof w:val="0"/>
          <w:rtl/>
        </w:rPr>
        <w:t xml:space="preserve">בית משפט זה סבור כי ניתן, בשינויים </w:t>
      </w:r>
      <w:r w:rsidR="002D0580" w:rsidRPr="002D0580">
        <w:rPr>
          <w:rFonts w:ascii="Arial" w:hAnsi="Arial" w:hint="cs"/>
          <w:noProof w:val="0"/>
          <w:rtl/>
        </w:rPr>
        <w:lastRenderedPageBreak/>
        <w:t xml:space="preserve">המתבקשים, </w:t>
      </w:r>
      <w:r w:rsidR="007410D3" w:rsidRPr="002D0580">
        <w:rPr>
          <w:rFonts w:ascii="Arial" w:hAnsi="Arial" w:hint="cs"/>
          <w:noProof w:val="0"/>
          <w:rtl/>
        </w:rPr>
        <w:t xml:space="preserve">להשליך למקרה דנן, </w:t>
      </w:r>
      <w:r w:rsidR="002D0580" w:rsidRPr="002D0580">
        <w:rPr>
          <w:rFonts w:ascii="Arial" w:hAnsi="Arial" w:hint="cs"/>
          <w:noProof w:val="0"/>
          <w:rtl/>
        </w:rPr>
        <w:t xml:space="preserve">כאילו הנתבעת מעכבת את הפרדת מגורי הצדדים תחת קורת גג אחת, </w:t>
      </w:r>
      <w:r w:rsidR="009353BC">
        <w:rPr>
          <w:rFonts w:ascii="Arial" w:hAnsi="Arial" w:hint="cs"/>
          <w:noProof w:val="0"/>
          <w:rtl/>
        </w:rPr>
        <w:t>מחד, ומונעת מהתובע לעשות שימוש בלעדי בנכס הרשום על שמו, מאידך, ש</w:t>
      </w:r>
      <w:r w:rsidR="002D0580" w:rsidRPr="002D0580">
        <w:rPr>
          <w:rFonts w:ascii="Arial" w:hAnsi="Arial" w:hint="cs"/>
          <w:noProof w:val="0"/>
          <w:rtl/>
        </w:rPr>
        <w:t>באופן ש</w:t>
      </w:r>
      <w:r w:rsidR="009353BC">
        <w:rPr>
          <w:rFonts w:ascii="Arial" w:hAnsi="Arial" w:hint="cs"/>
          <w:noProof w:val="0"/>
          <w:rtl/>
        </w:rPr>
        <w:t xml:space="preserve">ני המצבים </w:t>
      </w:r>
      <w:r w:rsidR="002D0580" w:rsidRPr="002D0580">
        <w:rPr>
          <w:rFonts w:ascii="Arial" w:hAnsi="Arial" w:hint="cs"/>
          <w:noProof w:val="0"/>
          <w:rtl/>
        </w:rPr>
        <w:t>מצדיק</w:t>
      </w:r>
      <w:r w:rsidR="009353BC">
        <w:rPr>
          <w:rFonts w:ascii="Arial" w:hAnsi="Arial" w:hint="cs"/>
          <w:noProof w:val="0"/>
          <w:rtl/>
        </w:rPr>
        <w:t>ים</w:t>
      </w:r>
      <w:r w:rsidR="002D0580" w:rsidRPr="002D0580">
        <w:rPr>
          <w:rFonts w:ascii="Arial" w:hAnsi="Arial" w:hint="cs"/>
          <w:noProof w:val="0"/>
          <w:rtl/>
        </w:rPr>
        <w:t xml:space="preserve"> חיובה בדמי שימוש. </w:t>
      </w:r>
    </w:p>
    <w:p w:rsidR="00710006" w:rsidRPr="002819E0" w:rsidRDefault="002819E0" w:rsidP="00C43F43">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קיים </w:t>
      </w:r>
      <w:r w:rsidR="00EC5D8A">
        <w:rPr>
          <w:rFonts w:ascii="Arial" w:hAnsi="Arial" w:hint="cs"/>
          <w:noProof w:val="0"/>
          <w:rtl/>
        </w:rPr>
        <w:t xml:space="preserve">טעם </w:t>
      </w:r>
      <w:r w:rsidR="00FC2552" w:rsidRPr="002819E0">
        <w:rPr>
          <w:rFonts w:ascii="Arial" w:hAnsi="Arial" w:hint="cs"/>
          <w:noProof w:val="0"/>
          <w:rtl/>
        </w:rPr>
        <w:t xml:space="preserve">נוסף </w:t>
      </w:r>
      <w:r w:rsidR="00EC5D8A">
        <w:rPr>
          <w:rFonts w:ascii="Arial" w:hAnsi="Arial" w:hint="cs"/>
          <w:noProof w:val="0"/>
          <w:rtl/>
        </w:rPr>
        <w:t>להיעתר לבקשת התובע ל</w:t>
      </w:r>
      <w:r w:rsidR="00C43F43">
        <w:rPr>
          <w:rFonts w:ascii="Arial" w:hAnsi="Arial" w:hint="cs"/>
          <w:noProof w:val="0"/>
          <w:rtl/>
        </w:rPr>
        <w:t>ח</w:t>
      </w:r>
      <w:r w:rsidR="00EC5D8A">
        <w:rPr>
          <w:rFonts w:ascii="Arial" w:hAnsi="Arial" w:hint="cs"/>
          <w:noProof w:val="0"/>
          <w:rtl/>
        </w:rPr>
        <w:t>יוב הנתבעת, כבר כעת, בדמי שימוש, ה</w:t>
      </w:r>
      <w:r w:rsidR="00FC2552" w:rsidRPr="002819E0">
        <w:rPr>
          <w:rFonts w:ascii="Arial" w:hAnsi="Arial" w:hint="cs"/>
          <w:noProof w:val="0"/>
          <w:rtl/>
        </w:rPr>
        <w:t>מתבסס על דיני עשיית עושר ולא במשפט,</w:t>
      </w:r>
      <w:r w:rsidR="00331B6C" w:rsidRPr="002819E0">
        <w:rPr>
          <w:rFonts w:ascii="Arial" w:hAnsi="Arial" w:hint="cs"/>
          <w:noProof w:val="0"/>
          <w:rtl/>
        </w:rPr>
        <w:t xml:space="preserve"> תשל"ט-1979 (להלן:</w:t>
      </w:r>
      <w:r w:rsidR="00EC5D8A">
        <w:rPr>
          <w:rFonts w:ascii="Arial" w:hAnsi="Arial" w:hint="cs"/>
          <w:noProof w:val="0"/>
          <w:rtl/>
        </w:rPr>
        <w:t xml:space="preserve"> </w:t>
      </w:r>
      <w:r w:rsidR="00331B6C" w:rsidRPr="002819E0">
        <w:rPr>
          <w:rFonts w:ascii="Arial" w:hAnsi="Arial" w:hint="cs"/>
          <w:noProof w:val="0"/>
          <w:rtl/>
        </w:rPr>
        <w:t>"</w:t>
      </w:r>
      <w:r w:rsidR="00331B6C" w:rsidRPr="00913189">
        <w:rPr>
          <w:rFonts w:ascii="Miriam" w:hAnsi="Miriam" w:cs="Miriam"/>
          <w:b/>
          <w:bCs/>
          <w:noProof w:val="0"/>
          <w:rtl/>
        </w:rPr>
        <w:t>החוק</w:t>
      </w:r>
      <w:r w:rsidR="00331B6C" w:rsidRPr="00913189">
        <w:rPr>
          <w:rFonts w:ascii="Miriam" w:hAnsi="Miriam" w:cs="Miriam"/>
          <w:noProof w:val="0"/>
          <w:rtl/>
        </w:rPr>
        <w:t xml:space="preserve"> </w:t>
      </w:r>
      <w:r w:rsidR="00331B6C" w:rsidRPr="00913189">
        <w:rPr>
          <w:rFonts w:ascii="Miriam" w:hAnsi="Miriam" w:cs="Miriam"/>
          <w:b/>
          <w:bCs/>
          <w:noProof w:val="0"/>
          <w:rtl/>
        </w:rPr>
        <w:t>לעשיית</w:t>
      </w:r>
      <w:r w:rsidR="00331B6C" w:rsidRPr="00913189">
        <w:rPr>
          <w:rFonts w:ascii="Miriam" w:hAnsi="Miriam" w:cs="Miriam"/>
          <w:noProof w:val="0"/>
          <w:rtl/>
        </w:rPr>
        <w:t xml:space="preserve"> </w:t>
      </w:r>
      <w:r w:rsidR="00331B6C" w:rsidRPr="00913189">
        <w:rPr>
          <w:rFonts w:ascii="Miriam" w:hAnsi="Miriam" w:cs="Miriam"/>
          <w:b/>
          <w:bCs/>
          <w:noProof w:val="0"/>
          <w:rtl/>
        </w:rPr>
        <w:t>עושר ולא במשפט</w:t>
      </w:r>
      <w:r w:rsidR="00331B6C" w:rsidRPr="002819E0">
        <w:rPr>
          <w:rFonts w:ascii="Arial" w:hAnsi="Arial" w:hint="cs"/>
          <w:noProof w:val="0"/>
          <w:rtl/>
        </w:rPr>
        <w:t>")</w:t>
      </w:r>
      <w:r w:rsidR="00C43F43">
        <w:rPr>
          <w:rFonts w:ascii="Arial" w:hAnsi="Arial" w:hint="cs"/>
          <w:noProof w:val="0"/>
          <w:rtl/>
        </w:rPr>
        <w:t>. מעצם היותו של התובע הבעלים הרשום של דירת המגורים</w:t>
      </w:r>
      <w:r w:rsidR="00EC5D8A">
        <w:rPr>
          <w:rFonts w:ascii="Arial" w:hAnsi="Arial" w:hint="cs"/>
          <w:noProof w:val="0"/>
          <w:rtl/>
        </w:rPr>
        <w:t>,</w:t>
      </w:r>
      <w:r w:rsidR="00331B6C" w:rsidRPr="002819E0">
        <w:rPr>
          <w:rFonts w:ascii="Arial" w:hAnsi="Arial" w:hint="cs"/>
          <w:noProof w:val="0"/>
          <w:rtl/>
        </w:rPr>
        <w:t xml:space="preserve"> </w:t>
      </w:r>
      <w:r w:rsidR="00C43F43">
        <w:rPr>
          <w:rFonts w:ascii="Arial" w:hAnsi="Arial" w:hint="cs"/>
          <w:noProof w:val="0"/>
          <w:rtl/>
        </w:rPr>
        <w:t xml:space="preserve">קמה לו הזכות לדרוש ולקבל דמי שימוש בעבור מגוריו של צד ג', שאינו בעל זכויות רשומות, בדירת המגורים </w:t>
      </w:r>
      <w:r w:rsidR="00273F2A" w:rsidRPr="002819E0">
        <w:rPr>
          <w:rFonts w:ascii="Arial" w:hAnsi="Arial" w:hint="cs"/>
          <w:noProof w:val="0"/>
          <w:rtl/>
        </w:rPr>
        <w:t xml:space="preserve">(ראו בהקשר זה ע"א 891/95 </w:t>
      </w:r>
      <w:r w:rsidR="00273F2A" w:rsidRPr="00913189">
        <w:rPr>
          <w:rFonts w:ascii="Miriam" w:hAnsi="Miriam" w:cs="Miriam"/>
          <w:b/>
          <w:bCs/>
          <w:noProof w:val="0"/>
          <w:rtl/>
        </w:rPr>
        <w:t>זידאני אבו אחמד</w:t>
      </w:r>
      <w:r w:rsidR="00273F2A" w:rsidRPr="002819E0">
        <w:rPr>
          <w:rFonts w:ascii="Arial" w:hAnsi="Arial" w:hint="cs"/>
          <w:noProof w:val="0"/>
          <w:rtl/>
        </w:rPr>
        <w:t xml:space="preserve">, פ"ד נג(4) 769, 778 (1999); פרידמן </w:t>
      </w:r>
      <w:r w:rsidR="00273F2A" w:rsidRPr="002819E0">
        <w:rPr>
          <w:rFonts w:ascii="Arial" w:hAnsi="Arial"/>
          <w:noProof w:val="0"/>
          <w:rtl/>
        </w:rPr>
        <w:t>–</w:t>
      </w:r>
      <w:r w:rsidR="00273F2A" w:rsidRPr="002819E0">
        <w:rPr>
          <w:rFonts w:ascii="Arial" w:hAnsi="Arial" w:hint="cs"/>
          <w:noProof w:val="0"/>
          <w:rtl/>
        </w:rPr>
        <w:t xml:space="preserve">דיני עשיית עושר ולא במשפט (מהדורה שנייה תשנ"ח (432)); עמ"ש 7396-12-09 </w:t>
      </w:r>
      <w:r w:rsidR="00273F2A" w:rsidRPr="00913189">
        <w:rPr>
          <w:rFonts w:ascii="Miriam" w:hAnsi="Miriam" w:cs="Miriam"/>
          <w:b/>
          <w:bCs/>
          <w:noProof w:val="0"/>
          <w:rtl/>
        </w:rPr>
        <w:t>פלונית נ' אלמוני</w:t>
      </w:r>
      <w:r w:rsidR="00273F2A" w:rsidRPr="002819E0">
        <w:rPr>
          <w:rFonts w:ascii="Arial" w:hAnsi="Arial" w:hint="cs"/>
          <w:noProof w:val="0"/>
          <w:rtl/>
        </w:rPr>
        <w:t xml:space="preserve"> (פורסם 21.04.2013)</w:t>
      </w:r>
      <w:r w:rsidR="000915D0" w:rsidRPr="002819E0">
        <w:rPr>
          <w:rFonts w:ascii="Arial" w:hAnsi="Arial" w:hint="cs"/>
          <w:noProof w:val="0"/>
          <w:rtl/>
        </w:rPr>
        <w:t>.</w:t>
      </w:r>
    </w:p>
    <w:p w:rsidR="00331B6C" w:rsidRDefault="002819E0" w:rsidP="00913189">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עתירת התובע </w:t>
      </w:r>
      <w:r w:rsidR="00331B6C">
        <w:rPr>
          <w:rFonts w:ascii="Arial" w:hAnsi="Arial" w:hint="cs"/>
          <w:noProof w:val="0"/>
          <w:rtl/>
        </w:rPr>
        <w:t>להורות לנתבעת להפקיד ערובה כתנאי להמשך ההליכים</w:t>
      </w:r>
      <w:r>
        <w:rPr>
          <w:rFonts w:ascii="Arial" w:hAnsi="Arial" w:hint="cs"/>
          <w:noProof w:val="0"/>
          <w:rtl/>
        </w:rPr>
        <w:t>, נדחית.</w:t>
      </w:r>
      <w:r w:rsidR="00331B6C">
        <w:rPr>
          <w:rFonts w:ascii="Arial" w:hAnsi="Arial" w:hint="cs"/>
          <w:noProof w:val="0"/>
          <w:rtl/>
        </w:rPr>
        <w:t xml:space="preserve"> </w:t>
      </w:r>
      <w:r>
        <w:rPr>
          <w:rFonts w:ascii="Arial" w:hAnsi="Arial" w:hint="cs"/>
          <w:noProof w:val="0"/>
          <w:rtl/>
        </w:rPr>
        <w:t>ה</w:t>
      </w:r>
      <w:r w:rsidR="00331B6C">
        <w:rPr>
          <w:rFonts w:ascii="Arial" w:hAnsi="Arial" w:hint="cs"/>
          <w:noProof w:val="0"/>
          <w:rtl/>
        </w:rPr>
        <w:t xml:space="preserve">תקנה </w:t>
      </w:r>
      <w:r>
        <w:rPr>
          <w:rFonts w:ascii="Arial" w:hAnsi="Arial" w:hint="cs"/>
          <w:noProof w:val="0"/>
          <w:rtl/>
        </w:rPr>
        <w:t xml:space="preserve">בדבר הפקדת ערובה להבטחת הוצאות </w:t>
      </w:r>
      <w:r w:rsidR="00331B6C">
        <w:rPr>
          <w:rFonts w:ascii="Arial" w:hAnsi="Arial" w:hint="cs"/>
          <w:noProof w:val="0"/>
          <w:rtl/>
        </w:rPr>
        <w:t>קובעת את האפשרות לה</w:t>
      </w:r>
      <w:r>
        <w:rPr>
          <w:rFonts w:ascii="Arial" w:hAnsi="Arial" w:hint="cs"/>
          <w:noProof w:val="0"/>
          <w:rtl/>
        </w:rPr>
        <w:t>ורות על הפקדת ער</w:t>
      </w:r>
      <w:r w:rsidR="00913189">
        <w:rPr>
          <w:rFonts w:ascii="Arial" w:hAnsi="Arial" w:hint="cs"/>
          <w:noProof w:val="0"/>
          <w:rtl/>
        </w:rPr>
        <w:t>ו</w:t>
      </w:r>
      <w:r>
        <w:rPr>
          <w:rFonts w:ascii="Arial" w:hAnsi="Arial" w:hint="cs"/>
          <w:noProof w:val="0"/>
          <w:rtl/>
        </w:rPr>
        <w:t xml:space="preserve">בה </w:t>
      </w:r>
      <w:r w:rsidR="00331B6C">
        <w:rPr>
          <w:rFonts w:ascii="Arial" w:hAnsi="Arial" w:hint="cs"/>
          <w:noProof w:val="0"/>
          <w:rtl/>
        </w:rPr>
        <w:t>להבטחת הוצאות הנתבע ולא התובע.</w:t>
      </w:r>
      <w:r>
        <w:rPr>
          <w:rFonts w:ascii="Arial" w:hAnsi="Arial" w:hint="cs"/>
          <w:noProof w:val="0"/>
          <w:rtl/>
        </w:rPr>
        <w:t xml:space="preserve"> התובע לא הצביע על מקור בדין לעתירה זו.</w:t>
      </w:r>
    </w:p>
    <w:p w:rsidR="00710006" w:rsidRDefault="00710006" w:rsidP="00C43F43">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כבר יובהר כי אין בהחלטה זו בכדי לקבוע מסמרות לגבי שיתוף בדירת המגורים, כן או לאו, ואלה יתבהרו בהמשך ההליך. יחד עם זאת כל עוד לא נקבע אחרת, מדובר בדירת מגורים בבעלות בלעדית של התובע, ומשכך זכאי הוא </w:t>
      </w:r>
      <w:r w:rsidR="00C43F43">
        <w:rPr>
          <w:rFonts w:ascii="Arial" w:hAnsi="Arial" w:hint="cs"/>
          <w:noProof w:val="0"/>
          <w:rtl/>
        </w:rPr>
        <w:t xml:space="preserve">כמפורט לעיל, </w:t>
      </w:r>
      <w:r>
        <w:rPr>
          <w:rFonts w:ascii="Arial" w:hAnsi="Arial" w:hint="cs"/>
          <w:noProof w:val="0"/>
          <w:rtl/>
        </w:rPr>
        <w:t>לדמי שימוש ראויים.</w:t>
      </w:r>
    </w:p>
    <w:p w:rsidR="00C65DF4" w:rsidRDefault="00C43F43" w:rsidP="00C65DF4">
      <w:pPr>
        <w:pStyle w:val="ad"/>
        <w:numPr>
          <w:ilvl w:val="0"/>
          <w:numId w:val="1"/>
        </w:numPr>
        <w:spacing w:line="360" w:lineRule="auto"/>
        <w:ind w:left="425" w:hanging="425"/>
        <w:jc w:val="both"/>
        <w:rPr>
          <w:rFonts w:ascii="Arial" w:hAnsi="Arial"/>
          <w:noProof w:val="0"/>
        </w:rPr>
      </w:pPr>
      <w:r>
        <w:rPr>
          <w:rFonts w:ascii="Arial" w:hAnsi="Arial" w:hint="cs"/>
          <w:noProof w:val="0"/>
          <w:rtl/>
        </w:rPr>
        <w:t xml:space="preserve">בבואו של בית המשפט להכריע </w:t>
      </w:r>
      <w:r w:rsidR="00F570D3">
        <w:rPr>
          <w:rFonts w:ascii="Arial" w:hAnsi="Arial" w:hint="cs"/>
          <w:noProof w:val="0"/>
          <w:rtl/>
        </w:rPr>
        <w:t xml:space="preserve">בשאלת חיוב בדמי שימוש, נלקחה בחשבון גם האפשרות הקיימת לכל אחד מהצדדים להשיב לצד השני, בתום ההליך, ובהתאם </w:t>
      </w:r>
      <w:r w:rsidR="00DD16F8">
        <w:rPr>
          <w:rFonts w:ascii="Arial" w:hAnsi="Arial" w:hint="cs"/>
          <w:noProof w:val="0"/>
          <w:rtl/>
        </w:rPr>
        <w:t>ל</w:t>
      </w:r>
      <w:r w:rsidR="00F570D3">
        <w:rPr>
          <w:rFonts w:ascii="Arial" w:hAnsi="Arial" w:hint="cs"/>
          <w:noProof w:val="0"/>
          <w:rtl/>
        </w:rPr>
        <w:t>תוצאותיו, כספים ששולמו לצד השני. במקרה דנן, גם אם תזכה הנתבעת בזכויות בדירת המגורים, ועל התובע יהיה להשיב לנתבעת את דמי השימוש, התובע בעלים</w:t>
      </w:r>
      <w:r w:rsidR="00DD16F8">
        <w:rPr>
          <w:rFonts w:ascii="Arial" w:hAnsi="Arial" w:hint="cs"/>
          <w:noProof w:val="0"/>
          <w:rtl/>
        </w:rPr>
        <w:t>, לכל הפחות,</w:t>
      </w:r>
      <w:r w:rsidR="00F570D3">
        <w:rPr>
          <w:rFonts w:ascii="Arial" w:hAnsi="Arial" w:hint="cs"/>
          <w:noProof w:val="0"/>
          <w:rtl/>
        </w:rPr>
        <w:t xml:space="preserve"> של מחצית </w:t>
      </w:r>
      <w:r w:rsidR="00DD16F8">
        <w:rPr>
          <w:rFonts w:ascii="Arial" w:hAnsi="Arial" w:hint="cs"/>
          <w:noProof w:val="0"/>
          <w:rtl/>
        </w:rPr>
        <w:t>ה</w:t>
      </w:r>
      <w:r w:rsidR="00F570D3">
        <w:rPr>
          <w:rFonts w:ascii="Arial" w:hAnsi="Arial" w:hint="cs"/>
          <w:noProof w:val="0"/>
          <w:rtl/>
        </w:rPr>
        <w:t xml:space="preserve">דירה ממנה יכול לפרוע חוב זה. מנגד, ועל פי עדותה של הנתבעת לגבי מצבה הכלכלי, קיים ספק ביכולתה של הנתבעת לשלם דמי שימוש, בתום ההליך, ככל שתביעת התובע תתקבל. </w:t>
      </w:r>
    </w:p>
    <w:p w:rsidR="00C65DF4" w:rsidRDefault="00710006" w:rsidP="00C65DF4">
      <w:pPr>
        <w:pStyle w:val="ad"/>
        <w:numPr>
          <w:ilvl w:val="0"/>
          <w:numId w:val="1"/>
        </w:numPr>
        <w:spacing w:line="360" w:lineRule="auto"/>
        <w:ind w:left="425" w:hanging="425"/>
        <w:jc w:val="both"/>
        <w:rPr>
          <w:rFonts w:ascii="Arial" w:hAnsi="Arial"/>
          <w:noProof w:val="0"/>
        </w:rPr>
      </w:pPr>
      <w:r w:rsidRPr="00C65DF4">
        <w:rPr>
          <w:rFonts w:ascii="Arial" w:hAnsi="Arial" w:hint="cs"/>
          <w:noProof w:val="0"/>
          <w:rtl/>
        </w:rPr>
        <w:lastRenderedPageBreak/>
        <w:t xml:space="preserve">על מנת לבחון את דמי השימוש הראויים, הריני ממנה בזאת את השמאי </w:t>
      </w:r>
      <w:r w:rsidR="00A97A29" w:rsidRPr="00C65DF4">
        <w:rPr>
          <w:rFonts w:ascii="Arial" w:hAnsi="Arial" w:hint="cs"/>
          <w:noProof w:val="0"/>
          <w:rtl/>
        </w:rPr>
        <w:t>זיו וליכנסקי, כמומחה מטעם בית המשפט טל: 054-6827878 (להלן: "</w:t>
      </w:r>
      <w:r w:rsidR="00A97A29" w:rsidRPr="00C65DF4">
        <w:rPr>
          <w:rFonts w:ascii="Arial" w:hAnsi="Arial" w:hint="cs"/>
          <w:b/>
          <w:bCs/>
          <w:noProof w:val="0"/>
          <w:rtl/>
        </w:rPr>
        <w:t>המומחה</w:t>
      </w:r>
      <w:r w:rsidR="00A97A29" w:rsidRPr="00C65DF4">
        <w:rPr>
          <w:rFonts w:ascii="Arial" w:hAnsi="Arial" w:hint="cs"/>
          <w:noProof w:val="0"/>
          <w:rtl/>
        </w:rPr>
        <w:t>"), א</w:t>
      </w:r>
      <w:r w:rsidRPr="00C65DF4">
        <w:rPr>
          <w:rFonts w:ascii="Arial" w:hAnsi="Arial" w:hint="cs"/>
          <w:noProof w:val="0"/>
          <w:rtl/>
        </w:rPr>
        <w:t>שר יגיש את חוות דעתו בתוך 15 יום</w:t>
      </w:r>
      <w:r w:rsidR="00C65DF4" w:rsidRPr="00C65DF4">
        <w:rPr>
          <w:rFonts w:ascii="Arial" w:hAnsi="Arial" w:hint="cs"/>
          <w:noProof w:val="0"/>
          <w:rtl/>
        </w:rPr>
        <w:t xml:space="preserve">, </w:t>
      </w:r>
      <w:r w:rsidR="00C65DF4">
        <w:rPr>
          <w:rFonts w:ascii="Arial" w:hAnsi="Arial" w:hint="cs"/>
          <w:noProof w:val="0"/>
          <w:rtl/>
        </w:rPr>
        <w:t>כאשר</w:t>
      </w:r>
      <w:r w:rsidR="00C65DF4" w:rsidRPr="00C65DF4">
        <w:rPr>
          <w:rFonts w:ascii="Arial" w:hAnsi="Arial" w:hint="cs"/>
          <w:noProof w:val="0"/>
          <w:rtl/>
        </w:rPr>
        <w:t xml:space="preserve"> ימי הפגרה יבואו במניין הימים.</w:t>
      </w:r>
    </w:p>
    <w:p w:rsidR="00710006" w:rsidRPr="00C65DF4" w:rsidRDefault="00710006" w:rsidP="00C65DF4">
      <w:pPr>
        <w:pStyle w:val="ad"/>
        <w:numPr>
          <w:ilvl w:val="0"/>
          <w:numId w:val="1"/>
        </w:numPr>
        <w:spacing w:line="360" w:lineRule="auto"/>
        <w:ind w:left="425" w:hanging="425"/>
        <w:jc w:val="both"/>
        <w:rPr>
          <w:rFonts w:ascii="Arial" w:hAnsi="Arial"/>
          <w:noProof w:val="0"/>
        </w:rPr>
      </w:pPr>
      <w:r w:rsidRPr="00C65DF4">
        <w:rPr>
          <w:rFonts w:ascii="Arial" w:hAnsi="Arial" w:hint="cs"/>
          <w:noProof w:val="0"/>
          <w:rtl/>
        </w:rPr>
        <w:t>בהתאם לחוות הדעת, תשלם הנתבעת לתובע, מחצית הסכום</w:t>
      </w:r>
      <w:r w:rsidR="00C65DF4" w:rsidRPr="00C65DF4">
        <w:rPr>
          <w:rFonts w:ascii="Arial" w:hAnsi="Arial" w:hint="cs"/>
          <w:noProof w:val="0"/>
          <w:rtl/>
        </w:rPr>
        <w:t>, וזאת החל מ</w:t>
      </w:r>
      <w:r w:rsidR="00C65DF4">
        <w:rPr>
          <w:rFonts w:ascii="Arial" w:hAnsi="Arial" w:hint="cs"/>
          <w:noProof w:val="0"/>
          <w:rtl/>
        </w:rPr>
        <w:t xml:space="preserve">יום </w:t>
      </w:r>
      <w:r w:rsidR="00C65DF4" w:rsidRPr="00C65DF4">
        <w:rPr>
          <w:rFonts w:ascii="Arial" w:hAnsi="Arial" w:hint="cs"/>
          <w:noProof w:val="0"/>
          <w:rtl/>
        </w:rPr>
        <w:t>מתן החלטה זו ועד החלטה אחרת</w:t>
      </w:r>
      <w:r w:rsidRPr="00C65DF4">
        <w:rPr>
          <w:rFonts w:ascii="Arial" w:hAnsi="Arial" w:hint="cs"/>
          <w:noProof w:val="0"/>
          <w:rtl/>
        </w:rPr>
        <w:t xml:space="preserve">. </w:t>
      </w:r>
      <w:r w:rsidRPr="00C65DF4">
        <w:rPr>
          <w:rFonts w:ascii="Arial" w:hAnsi="Arial" w:hint="cs"/>
          <w:b/>
          <w:bCs/>
          <w:noProof w:val="0"/>
          <w:rtl/>
        </w:rPr>
        <w:t>ב"כ הצדדים ימסרו החלטה זו למומחה</w:t>
      </w:r>
      <w:r w:rsidRPr="00C65DF4">
        <w:rPr>
          <w:rFonts w:ascii="Arial" w:hAnsi="Arial" w:hint="cs"/>
          <w:noProof w:val="0"/>
          <w:rtl/>
        </w:rPr>
        <w:t>. המומחה יבקר בדירת המגורים, לאחר שתיאם מועד בו הצדדים שניהם יהיו נוכחים בעת הגעתו.</w:t>
      </w:r>
    </w:p>
    <w:p w:rsidR="00710006" w:rsidRDefault="00710006" w:rsidP="00710006">
      <w:pPr>
        <w:pStyle w:val="ad"/>
        <w:numPr>
          <w:ilvl w:val="0"/>
          <w:numId w:val="1"/>
        </w:numPr>
        <w:spacing w:line="360" w:lineRule="auto"/>
        <w:ind w:left="425" w:hanging="425"/>
        <w:jc w:val="both"/>
        <w:rPr>
          <w:rFonts w:ascii="Arial" w:hAnsi="Arial"/>
          <w:noProof w:val="0"/>
        </w:rPr>
      </w:pPr>
      <w:r>
        <w:rPr>
          <w:rFonts w:ascii="Arial" w:hAnsi="Arial" w:hint="cs"/>
          <w:noProof w:val="0"/>
          <w:rtl/>
        </w:rPr>
        <w:t>על מנת שלא לייצר מחלוקות נוספות בין הצדדים ולפנים משורת הדין, איני עושה צו להוצאות. יחד עם זאת יעשו טוב הצדדים אם יגיעו להסכמות וייתרו את המשך ההליכים המשפטיים.</w:t>
      </w:r>
    </w:p>
    <w:p w:rsidR="00913189" w:rsidRDefault="00913189" w:rsidP="00913189">
      <w:pPr>
        <w:pStyle w:val="ad"/>
        <w:numPr>
          <w:ilvl w:val="0"/>
          <w:numId w:val="1"/>
        </w:numPr>
        <w:spacing w:line="360" w:lineRule="auto"/>
        <w:ind w:left="425" w:hanging="425"/>
        <w:jc w:val="both"/>
        <w:rPr>
          <w:rFonts w:ascii="Arial" w:hAnsi="Arial"/>
          <w:noProof w:val="0"/>
        </w:rPr>
      </w:pPr>
      <w:r w:rsidRPr="00913189">
        <w:rPr>
          <w:rFonts w:ascii="Arial" w:hAnsi="Arial" w:hint="cs"/>
          <w:b/>
          <w:bCs/>
          <w:noProof w:val="0"/>
          <w:u w:val="single"/>
          <w:rtl/>
        </w:rPr>
        <w:t xml:space="preserve">המזכירות  </w:t>
      </w:r>
      <w:r>
        <w:rPr>
          <w:rFonts w:ascii="Arial" w:hAnsi="Arial" w:hint="cs"/>
          <w:noProof w:val="0"/>
          <w:rtl/>
        </w:rPr>
        <w:t xml:space="preserve">תקבע ת.פ. לעוד 20 ימים. </w:t>
      </w:r>
    </w:p>
    <w:p w:rsidR="00913189" w:rsidRPr="00710006" w:rsidRDefault="00913189" w:rsidP="00913189">
      <w:pPr>
        <w:pStyle w:val="ad"/>
        <w:spacing w:line="360" w:lineRule="auto"/>
        <w:ind w:left="425"/>
        <w:jc w:val="both"/>
        <w:rPr>
          <w:rFonts w:ascii="Arial" w:hAnsi="Arial"/>
          <w:noProof w:val="0"/>
          <w:rtl/>
        </w:rPr>
      </w:pPr>
    </w:p>
    <w:p w:rsidR="00710006" w:rsidRDefault="00710006" w:rsidP="00710006">
      <w:pPr>
        <w:pStyle w:val="ad"/>
        <w:spacing w:line="360" w:lineRule="auto"/>
        <w:jc w:val="both"/>
        <w:rPr>
          <w:rFonts w:ascii="Arial" w:hAnsi="Arial"/>
          <w:noProof w:val="0"/>
          <w:rtl/>
        </w:rPr>
      </w:pPr>
    </w:p>
    <w:p w:rsidR="00E21123" w:rsidRDefault="00E21123" w:rsidP="00710006">
      <w:pPr>
        <w:spacing w:line="360" w:lineRule="auto"/>
        <w:ind w:left="425" w:hanging="425"/>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tl/>
            </w:rPr>
            <w:t>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tl/>
            </w:rPr>
            <w:t>08 יולי 2024</w:t>
          </w:r>
        </w:sdtContent>
      </w:sdt>
      <w:r w:rsidR="00005C8B">
        <w:rPr>
          <w:rFonts w:ascii="Arial" w:hAnsi="Arial"/>
          <w:noProof w:val="0"/>
          <w:rtl/>
        </w:rPr>
        <w:t>, בהעדר הצדדים.</w:t>
      </w:r>
    </w:p>
    <w:p w:rsidR="00C43648" w:rsidRDefault="0015785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22027433"/>
        </w:sdtPr>
        <w:sdtEndPr/>
        <w:sdtContent>
          <w:r w:rsidR="002D32B5">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851" w:rsidRDefault="00157851">
      <w:r>
        <w:separator/>
      </w:r>
    </w:p>
  </w:endnote>
  <w:endnote w:type="continuationSeparator" w:id="0">
    <w:p w:rsidR="00157851" w:rsidRDefault="001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F002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F002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851" w:rsidRDefault="00157851">
      <w:r>
        <w:separator/>
      </w:r>
    </w:p>
  </w:footnote>
  <w:footnote w:type="continuationSeparator" w:id="0">
    <w:p w:rsidR="00157851" w:rsidRDefault="0015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57851"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10871-05-24</w:t>
              </w:r>
            </w:sdtContent>
          </w:sdt>
          <w:r w:rsidR="00005C8B">
            <w:rPr>
              <w:b/>
              <w:bCs/>
              <w:noProof w:val="0"/>
              <w:sz w:val="26"/>
              <w:szCs w:val="26"/>
              <w:rtl/>
            </w:rPr>
            <w:t xml:space="preserve"> </w:t>
          </w:r>
          <w:sdt>
            <w:sdtPr>
              <w:rPr>
                <w:rtl/>
              </w:rPr>
              <w:alias w:val="1172"/>
              <w:tag w:val="1172"/>
              <w:id w:val="-595170033"/>
              <w:text w:multiLine="1"/>
            </w:sdtPr>
            <w:sdtEndPr/>
            <w:sdtContent>
              <w:r w:rsidR="006A5146">
                <w:rPr>
                  <w:b/>
                  <w:bCs/>
                  <w:noProof w:val="0"/>
                  <w:sz w:val="26"/>
                  <w:szCs w:val="26"/>
                  <w:rtl/>
                </w:rPr>
                <w:t>ר</w:t>
              </w:r>
              <w:r w:rsidR="006A5146">
                <w:rPr>
                  <w:rFonts w:hint="cs"/>
                  <w:b/>
                  <w:bCs/>
                  <w:noProof w:val="0"/>
                  <w:sz w:val="26"/>
                  <w:szCs w:val="26"/>
                  <w:rtl/>
                </w:rPr>
                <w:t>'</w:t>
              </w:r>
              <w:r w:rsidR="006A5146">
                <w:rPr>
                  <w:b/>
                  <w:bCs/>
                  <w:noProof w:val="0"/>
                  <w:sz w:val="26"/>
                  <w:szCs w:val="26"/>
                  <w:rtl/>
                </w:rPr>
                <w:t xml:space="preserve"> נ' ה</w:t>
              </w:r>
              <w:r w:rsidR="006A5146">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909AD"/>
    <w:multiLevelType w:val="hybridMultilevel"/>
    <w:tmpl w:val="4D5C16DA"/>
    <w:lvl w:ilvl="0" w:tplc="2D429CDC">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2B825826"/>
    <w:multiLevelType w:val="hybridMultilevel"/>
    <w:tmpl w:val="27FC5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979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97956&amp;lt;/CaseID&amp;gt;_x000d__x000a_        &amp;lt;CaseMonth&amp;gt;5&amp;lt;/CaseMonth&amp;gt;_x000d__x000a_        &amp;lt;CaseYear&amp;gt;2024&amp;lt;/CaseYear&amp;gt;_x000d__x000a_        &amp;lt;CaseNumber&amp;gt;10871&amp;lt;/CaseNumber&amp;gt;_x000d__x000a_        &amp;lt;NumeratorGroupID&amp;gt;1&amp;lt;/NumeratorGroupID&amp;gt;_x000d__x000a_        &amp;lt;CaseName&amp;gt;רונן נ&amp;#39; הרוש&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71-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5-05T12:1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97956&amp;lt;/CaseID&amp;gt;_x000d__x000a_        &amp;lt;CaseMonth&amp;gt;5&amp;lt;/CaseMonth&amp;gt;_x000d__x000a_        &amp;lt;CaseYear&amp;gt;2024&amp;lt;/CaseYear&amp;gt;_x000d__x000a_        &amp;lt;CaseNumber&amp;gt;10871&amp;lt;/CaseNumber&amp;gt;_x000d__x000a_        &amp;lt;NumeratorGroupID&amp;gt;1&amp;lt;/NumeratorGroupID&amp;gt;_x000d__x000a_        &amp;lt;CaseName&amp;gt;רונן נ&amp;#39; הרוש&amp;lt;/CaseName&amp;gt;_x000d__x000a_        &amp;lt;CourtID&amp;gt;35&amp;lt;/CourtID&amp;gt;_x000d__x000a_        &amp;lt;CaseTypeID&amp;gt;10262&amp;lt;/CaseTypeID&amp;gt;_x000d__x000a_        &amp;lt;CaseInterestID&amp;gt;10513&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71-05-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5-05T12:18: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43153&amp;lt;/DecisionID&amp;gt;_x000d__x000a_        &amp;lt;DecisionName&amp;gt;החלטה  שניתנה ע&amp;quot;י  שירלי שי&amp;lt;/DecisionName&amp;gt;_x000d__x000a_        &amp;lt;DecisionStatusID&amp;gt;1&amp;lt;/DecisionStatusID&amp;gt;_x000d__x000a_        &amp;lt;DecisionStatusChangeDate&amp;gt;2024-07-08T12:00:46.71+03:00&amp;lt;/DecisionStatusChangeDate&amp;gt;_x000d__x000a_        &amp;lt;DecisionSignatureDate&amp;gt;2024-07-08T12:00:40.807+03:00&amp;lt;/DecisionSignatureDate&amp;gt;_x000d__x000a_        &amp;lt;DecisionSignatureUserID&amp;gt;022829972@GOV.IL&amp;lt;/DecisionSignatureUserID&amp;gt;_x000d__x000a_        &amp;lt;DecisionCreateDate&amp;gt;2024-07-04T08:59:25.347+03:00&amp;lt;/DecisionCreateDate&amp;gt;_x000d__x000a_        &amp;lt;DecisionChangeDate&amp;gt;2024-07-08T12:00:46.873+03:00&amp;lt;/DecisionChangeDate&amp;gt;_x000d__x000a_        &amp;lt;DecisionChangeUserID&amp;gt;311861702@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78084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52643153&amp;lt;/DecisionID&amp;gt;_x000d__x000a_        &amp;lt;CaseID&amp;gt;81197956&amp;lt;/CaseID&amp;gt;_x000d__x000a_        &amp;lt;IsOriginal&amp;gt;true&amp;lt;/IsOriginal&amp;gt;_x000d__x000a_        &amp;lt;IsDeleted&amp;gt;false&amp;lt;/IsDeleted&amp;gt;_x000d__x000a_        &amp;lt;CaseName&amp;gt;רונן נ&amp;#39; הרוש&amp;lt;/CaseName&amp;gt;_x000d__x000a_        &amp;lt;CaseDisplayIdentifier&amp;gt;10871-05-24 תלה&amp;quot;מ&amp;lt;/CaseDisplayIdentifier&amp;gt;_x000d__x000a_      &amp;lt;/dt_DecisionCase&amp;gt;_x000d__x000a_    &amp;lt;/DecisionDS&amp;gt;_x000d__x000a_  &amp;lt;/diffgr:diffgram&amp;gt;_x000d__x000a_&amp;lt;/DecisionDS&amp;gt;"/>
    <w:docVar w:name="DecisionID" w:val="152643153"/>
    <w:docVar w:name="WordClientAssemblyName" w:val="NGCS.Decision.ClientWordBL"/>
    <w:docVar w:name="WordClientClassName" w:val="NGCS.Decision.ClientWordBL.DecisionClient"/>
  </w:docVars>
  <w:rsids>
    <w:rsidRoot w:val="00694556"/>
    <w:rsid w:val="00000062"/>
    <w:rsid w:val="0000226B"/>
    <w:rsid w:val="00005C8B"/>
    <w:rsid w:val="000229A1"/>
    <w:rsid w:val="0004419F"/>
    <w:rsid w:val="000529D2"/>
    <w:rsid w:val="00052F0B"/>
    <w:rsid w:val="0005421C"/>
    <w:rsid w:val="000564AB"/>
    <w:rsid w:val="00064651"/>
    <w:rsid w:val="00064FBD"/>
    <w:rsid w:val="00082AB2"/>
    <w:rsid w:val="00082DFE"/>
    <w:rsid w:val="000906FE"/>
    <w:rsid w:val="000915D0"/>
    <w:rsid w:val="00096AF7"/>
    <w:rsid w:val="000B344B"/>
    <w:rsid w:val="000C3B0F"/>
    <w:rsid w:val="000C3B60"/>
    <w:rsid w:val="000E0DD2"/>
    <w:rsid w:val="000E3AF1"/>
    <w:rsid w:val="000F0BC8"/>
    <w:rsid w:val="000F0DD6"/>
    <w:rsid w:val="00107E6D"/>
    <w:rsid w:val="0011194C"/>
    <w:rsid w:val="0011424C"/>
    <w:rsid w:val="00116DBD"/>
    <w:rsid w:val="001173C6"/>
    <w:rsid w:val="001367BC"/>
    <w:rsid w:val="00144D2A"/>
    <w:rsid w:val="0014653E"/>
    <w:rsid w:val="00157851"/>
    <w:rsid w:val="00180519"/>
    <w:rsid w:val="00191C82"/>
    <w:rsid w:val="0019535A"/>
    <w:rsid w:val="001A6928"/>
    <w:rsid w:val="001C4003"/>
    <w:rsid w:val="001D4DBF"/>
    <w:rsid w:val="001E75CA"/>
    <w:rsid w:val="00214D65"/>
    <w:rsid w:val="002265FF"/>
    <w:rsid w:val="00234943"/>
    <w:rsid w:val="00242C76"/>
    <w:rsid w:val="00271B56"/>
    <w:rsid w:val="00273F2A"/>
    <w:rsid w:val="002819E0"/>
    <w:rsid w:val="0028443A"/>
    <w:rsid w:val="002C344E"/>
    <w:rsid w:val="002C3F4A"/>
    <w:rsid w:val="002D0580"/>
    <w:rsid w:val="002D32B5"/>
    <w:rsid w:val="002E75E9"/>
    <w:rsid w:val="00300BE0"/>
    <w:rsid w:val="00307A6A"/>
    <w:rsid w:val="00307C40"/>
    <w:rsid w:val="0031717A"/>
    <w:rsid w:val="00320433"/>
    <w:rsid w:val="00321FCE"/>
    <w:rsid w:val="003230C7"/>
    <w:rsid w:val="00327E50"/>
    <w:rsid w:val="00331B6C"/>
    <w:rsid w:val="0033597A"/>
    <w:rsid w:val="00343D89"/>
    <w:rsid w:val="0034510B"/>
    <w:rsid w:val="00362612"/>
    <w:rsid w:val="0036743F"/>
    <w:rsid w:val="003715DD"/>
    <w:rsid w:val="00377767"/>
    <w:rsid w:val="003823E0"/>
    <w:rsid w:val="003A4521"/>
    <w:rsid w:val="003D1C8C"/>
    <w:rsid w:val="0040043C"/>
    <w:rsid w:val="0040096C"/>
    <w:rsid w:val="0040290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6455"/>
    <w:rsid w:val="00567A97"/>
    <w:rsid w:val="005C7701"/>
    <w:rsid w:val="005E1191"/>
    <w:rsid w:val="005F4F09"/>
    <w:rsid w:val="0061431B"/>
    <w:rsid w:val="00622BAA"/>
    <w:rsid w:val="006306CF"/>
    <w:rsid w:val="00644E9A"/>
    <w:rsid w:val="00653023"/>
    <w:rsid w:val="00671BD5"/>
    <w:rsid w:val="006805C1"/>
    <w:rsid w:val="00683995"/>
    <w:rsid w:val="00686C21"/>
    <w:rsid w:val="006931C1"/>
    <w:rsid w:val="00694556"/>
    <w:rsid w:val="006A5146"/>
    <w:rsid w:val="006C30C5"/>
    <w:rsid w:val="006C4820"/>
    <w:rsid w:val="006D3B31"/>
    <w:rsid w:val="006E0D96"/>
    <w:rsid w:val="006E1A53"/>
    <w:rsid w:val="006F56E6"/>
    <w:rsid w:val="007017EC"/>
    <w:rsid w:val="00704EDA"/>
    <w:rsid w:val="00710006"/>
    <w:rsid w:val="00721122"/>
    <w:rsid w:val="007410D3"/>
    <w:rsid w:val="00753019"/>
    <w:rsid w:val="00754801"/>
    <w:rsid w:val="00761441"/>
    <w:rsid w:val="00795365"/>
    <w:rsid w:val="007A351D"/>
    <w:rsid w:val="007B7765"/>
    <w:rsid w:val="007C5BDD"/>
    <w:rsid w:val="007D45E3"/>
    <w:rsid w:val="007E6115"/>
    <w:rsid w:val="007F0023"/>
    <w:rsid w:val="007F4609"/>
    <w:rsid w:val="00814468"/>
    <w:rsid w:val="008154C8"/>
    <w:rsid w:val="008176A1"/>
    <w:rsid w:val="00820005"/>
    <w:rsid w:val="00844318"/>
    <w:rsid w:val="0086061C"/>
    <w:rsid w:val="00863F5D"/>
    <w:rsid w:val="00870890"/>
    <w:rsid w:val="00873602"/>
    <w:rsid w:val="00875D12"/>
    <w:rsid w:val="00881CCE"/>
    <w:rsid w:val="0088479D"/>
    <w:rsid w:val="00896889"/>
    <w:rsid w:val="00897DAF"/>
    <w:rsid w:val="008B3606"/>
    <w:rsid w:val="008C5714"/>
    <w:rsid w:val="008D10B2"/>
    <w:rsid w:val="00903896"/>
    <w:rsid w:val="00906F3D"/>
    <w:rsid w:val="00913189"/>
    <w:rsid w:val="009144E5"/>
    <w:rsid w:val="009353BC"/>
    <w:rsid w:val="0094424E"/>
    <w:rsid w:val="0095115B"/>
    <w:rsid w:val="00955642"/>
    <w:rsid w:val="009622DF"/>
    <w:rsid w:val="0096493F"/>
    <w:rsid w:val="00967DFF"/>
    <w:rsid w:val="00994341"/>
    <w:rsid w:val="00996935"/>
    <w:rsid w:val="009C1F65"/>
    <w:rsid w:val="009D1A48"/>
    <w:rsid w:val="009E1CE7"/>
    <w:rsid w:val="009E4EA5"/>
    <w:rsid w:val="009F164B"/>
    <w:rsid w:val="009F323C"/>
    <w:rsid w:val="00A3392B"/>
    <w:rsid w:val="00A713C1"/>
    <w:rsid w:val="00A85E34"/>
    <w:rsid w:val="00A94B64"/>
    <w:rsid w:val="00A97A29"/>
    <w:rsid w:val="00AA3229"/>
    <w:rsid w:val="00AA7596"/>
    <w:rsid w:val="00AB5E52"/>
    <w:rsid w:val="00AC1527"/>
    <w:rsid w:val="00AC30D6"/>
    <w:rsid w:val="00AC3B02"/>
    <w:rsid w:val="00AC3B7B"/>
    <w:rsid w:val="00AC5209"/>
    <w:rsid w:val="00AE0E34"/>
    <w:rsid w:val="00AE729E"/>
    <w:rsid w:val="00AE7752"/>
    <w:rsid w:val="00AF2A93"/>
    <w:rsid w:val="00AF7FDA"/>
    <w:rsid w:val="00B5356E"/>
    <w:rsid w:val="00B53D87"/>
    <w:rsid w:val="00B809AD"/>
    <w:rsid w:val="00B80CBD"/>
    <w:rsid w:val="00B8384F"/>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3F43"/>
    <w:rsid w:val="00C50A9F"/>
    <w:rsid w:val="00C642FA"/>
    <w:rsid w:val="00C65DF4"/>
    <w:rsid w:val="00C721A6"/>
    <w:rsid w:val="00C728F8"/>
    <w:rsid w:val="00C84A4E"/>
    <w:rsid w:val="00CC7622"/>
    <w:rsid w:val="00CD608F"/>
    <w:rsid w:val="00CF6BB7"/>
    <w:rsid w:val="00D04AA4"/>
    <w:rsid w:val="00D078BB"/>
    <w:rsid w:val="00D15025"/>
    <w:rsid w:val="00D27982"/>
    <w:rsid w:val="00D32163"/>
    <w:rsid w:val="00D33B86"/>
    <w:rsid w:val="00D44968"/>
    <w:rsid w:val="00D53924"/>
    <w:rsid w:val="00D55D0C"/>
    <w:rsid w:val="00D6251F"/>
    <w:rsid w:val="00D96D8C"/>
    <w:rsid w:val="00DA0953"/>
    <w:rsid w:val="00DA6649"/>
    <w:rsid w:val="00DC1259"/>
    <w:rsid w:val="00DC1BD2"/>
    <w:rsid w:val="00DC2571"/>
    <w:rsid w:val="00DC487C"/>
    <w:rsid w:val="00DD16F8"/>
    <w:rsid w:val="00DE1E7D"/>
    <w:rsid w:val="00DE6BF6"/>
    <w:rsid w:val="00E04E84"/>
    <w:rsid w:val="00E1068A"/>
    <w:rsid w:val="00E13E0B"/>
    <w:rsid w:val="00E21123"/>
    <w:rsid w:val="00E25884"/>
    <w:rsid w:val="00E25B55"/>
    <w:rsid w:val="00E31C2B"/>
    <w:rsid w:val="00E32A86"/>
    <w:rsid w:val="00E34F68"/>
    <w:rsid w:val="00E5426A"/>
    <w:rsid w:val="00E54642"/>
    <w:rsid w:val="00E54CD9"/>
    <w:rsid w:val="00E80CBE"/>
    <w:rsid w:val="00E962E3"/>
    <w:rsid w:val="00EB6C79"/>
    <w:rsid w:val="00EC37E9"/>
    <w:rsid w:val="00EC5D8A"/>
    <w:rsid w:val="00F038D8"/>
    <w:rsid w:val="00F06995"/>
    <w:rsid w:val="00F13623"/>
    <w:rsid w:val="00F44D1D"/>
    <w:rsid w:val="00F570D3"/>
    <w:rsid w:val="00F84B6D"/>
    <w:rsid w:val="00F957E8"/>
    <w:rsid w:val="00FA311A"/>
    <w:rsid w:val="00FA5FDA"/>
    <w:rsid w:val="00FB6AB3"/>
    <w:rsid w:val="00FC2552"/>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10006"/>
    <w:pPr>
      <w:ind w:left="720"/>
      <w:contextualSpacing/>
    </w:pPr>
  </w:style>
  <w:style w:type="paragraph" w:styleId="NormalWeb">
    <w:name w:val="Normal (Web)"/>
    <w:basedOn w:val="a"/>
    <w:uiPriority w:val="99"/>
    <w:unhideWhenUsed/>
    <w:rsid w:val="00710006"/>
    <w:pPr>
      <w:bidi w:val="0"/>
      <w:spacing w:before="100" w:beforeAutospacing="1" w:after="100" w:afterAutospacing="1"/>
    </w:pPr>
    <w:rPr>
      <w:rFonts w:cs="Times New Roman"/>
      <w:noProof w:val="0"/>
    </w:rPr>
  </w:style>
  <w:style w:type="character" w:styleId="ae">
    <w:name w:val="Strong"/>
    <w:basedOn w:val="a0"/>
    <w:uiPriority w:val="22"/>
    <w:qFormat/>
    <w:rsid w:val="00710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319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235DC" w:rsidP="00D235D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439A5"/>
    <w:rsid w:val="006A12FF"/>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235DC"/>
    <w:rsid w:val="00E31BF6"/>
    <w:rsid w:val="00E81DB1"/>
    <w:rsid w:val="00F04DC1"/>
    <w:rsid w:val="00F678CA"/>
    <w:rsid w:val="00F96101"/>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235D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איילת חן פרידמן</FullName>
        <FirstName>איילת</FirstName>
        <LastName>חן פרידמן</LastName>
        <PartyPropertyName/>
        <AuthenticationTypeAndNumber>מ.ר. 47608</AuthenticationTypeAndNumber>
        <RepresentatedOrRepresentativesNames>אורית יאנג (הרוש)</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270528493</CasePartyID>
        <PartyTypeID>2</PartyTypeID>
        <ActivityStatusID>1</ActivityStatusID>
        <PartyAliasID>21</PartyAliasID>
        <PartyAliasName>בא כוח נתבעים</PartyAliasName>
        <LegalEntityID>15878952</LegalEntityID>
        <CaseLegalEntityID>128990103</CaseLegalEntityID>
        <AuthenticationTypeID>4</AuthenticationTypeID>
        <AuthenticationTypeName>מ.ר.</AuthenticationTypeName>
        <LegalEntityNumber>47608</LegalEntityNumber>
        <IsMainPartyType>true</IsMainPartyType>
        <CaseDisplayIdentifier>10871-05-24</CaseDisplayIdentifier>
        <CaseTypeID>10262</CaseTypeID>
        <CaseTypeName>תביעה לאחר הסדר התדיינויות במשפחה (תלה"מ)</CaseTypeName>
        <CaseName>רונן נ' הרוש</CaseName>
        <FullAddress>הנופר 2 רעננה ת.ד 4332</FullAddress>
        <EmailAddress>office@staflaw.com</EmailAddress>
        <MotionID>0</MotionID>
        <CasePleaID>0</CasePleaID>
        <LinkedCaseID>0</LinkedCaseID>
        <PartyID>2</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77859291</LegalEntityNameID>
        <RepresentatedNamesOfAssistant/>
        <LegalEntityTypeID>4</LegalEntityTypeID>
        <IsVerdictExists>false</IsVerdictExists>
        <IsAsirAzir>false</IsAsirAzir>
        <MainAndSecSpec/>
        <IsPublicationProhibited>false</IsPublicationProhibited>
        <PublicationProhibitedFullName>איילת חן פרידמן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רזיאל רונן</FullName>
        <FirstName>רזיאל</FirstName>
        <LastName>רונן</LastName>
        <PartyPropertyName/>
        <AuthenticationTypeAndNumber>ת"ז 051804375</AuthenticationTypeAndNumber>
        <RepresentatedOrRepresentativesNames>רונית אלאג'ם-זיסמן, ארתור שני</RepresentatedOrRepresentativesNames>
        <RepresentatedOrRepresentativesCount>2</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269684154</CasePartyID>
        <PartyTypeID>1</PartyTypeID>
        <ActivityStatusID>1</ActivityStatusID>
        <PartyAliasID>1</PartyAliasID>
        <PartyAliasName>תובע</PartyAliasName>
        <OrdinalNumber>1</OrdinalNumber>
        <LegalEntityID>491746</LegalEntityID>
        <CaseLegalEntityID>128738171</CaseLegalEntityID>
        <AuthenticationTypeID>1</AuthenticationTypeID>
        <AuthenticationTypeName>ת"ז</AuthenticationTypeName>
        <LegalEntityNumber>051804375</LegalEntityNumber>
        <IsMainPartyType>true</IsMainPartyType>
        <CaseDisplayIdentifier>10871-05-24</CaseDisplayIdentifier>
        <CaseTypeID>10262</CaseTypeID>
        <CaseTypeName>תביעה לאחר הסדר התדיינויות במשפחה (תלה"מ)</CaseTypeName>
        <CaseName>רונן נ' הרוש</CaseName>
        <FullAddress>דרך מגדיאל 51 הוד השרון </FullAddress>
        <MotionID>0</MotionID>
        <CasePleaID>0</CasePleaID>
        <FatherName>אברהם</FatherName>
        <LinkedCaseID>0</LinkedCaseID>
        <PartyID>1</PartyID>
        <CasePartyCategoryID>2</CasePartyCategoryID>
        <LegalEntityAddressID>89257418</LegalEntityAddressID>
        <PleaTypeID>4</PleaTypeID>
        <GroupPartyAlias>תובעים</GroupPartyAlias>
        <IsConverted>false</IsConverted>
        <LegalEntityRegisteredNameID>2327110</LegalEntityRegisteredNameID>
        <LegalEntityNameID>96513771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רזיאל רונן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רזיאל רונן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269684155</CasePartyID>
        <PartyTypeID>2</PartyTypeID>
        <ActivityStatusID>1</ActivityStatusID>
        <PartyAliasID>20</PartyAliasID>
        <PartyAliasName>בא כוח תובעים</PartyAliasName>
        <OrdinalNumber>1</OrdinalNumber>
        <LegalEntityID>74958305</LegalEntityID>
        <CaseLegalEntityID>128738172</CaseLegalEntityID>
        <AuthenticationTypeID>4</AuthenticationTypeID>
        <AuthenticationTypeName>מ.ר.</AuthenticationTypeName>
        <LegalEntityNumber>71172</LegalEntityNumber>
        <IsMainPartyType>true</IsMainPartyType>
        <CaseDisplayIdentifier>10871-05-24</CaseDisplayIdentifier>
        <CaseTypeID>10262</CaseTypeID>
        <CaseTypeName>תביעה לאחר הסדר התדיינויות במשפחה (תלה"מ)</CaseTypeName>
        <CaseName>רונן נ' הרוש</CaseName>
        <FullAddress>ויצמן 2 תל אביב -יפו </FullAddress>
        <EmailAddress>office@AnyFamily.law</EmailAddress>
        <MotionID>0</MotionID>
        <CasePleaID>0</CasePleaID>
        <LinkedCaseID>0</LinkedCaseID>
        <PartyID>1</PartyID>
        <CasePartyCategoryID>2</CasePartyCategoryID>
        <LegalEntityAddressID>89490376</LegalEntityAddressID>
        <LegalEntityEmailAddressID>67992121</LegalEntityEmailAddressID>
        <PleaTypeID>4</PleaTypeID>
        <LawyerOfficeName>משרד עו"ד: ארתור שני</LawyerOfficeName>
        <LawyerOfficeID>74958306</LawyerOfficeID>
        <GroupPartyAlias/>
        <IsConverted>false</IsConverted>
        <LegalEntityNameID>81008819</LegalEntityNameID>
        <RepresentatedNamesOfAssistant/>
        <LegalEntityTypeID>4</LegalEntityTypeID>
        <IsVerdictExists>false</IsVerdictExists>
        <IsAsirAzir>false</IsAsirAzir>
        <MainAndSecSpec/>
        <IsPublicationProhibited>false</IsPublicationProhibited>
        <PublicationProhibitedFullName>ארתור 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אורית יאנג (הרוש)</FullName>
        <FirstName>אורית</FirstName>
        <LastName>יאנג</LastName>
        <PartyPropertyName/>
        <AuthenticationTypeAndNumber>ת"ז 054209457</AuthenticationTypeAndNumber>
        <RepresentatedOrRepresentativesNames>איילת חן פרידמן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269684156</CasePartyID>
        <PartyTypeID>1</PartyTypeID>
        <ActivityStatusID>1</ActivityStatusID>
        <PartyAliasID>2</PartyAliasID>
        <PartyAliasName>נתבע</PartyAliasName>
        <OrdinalNumber>1</OrdinalNumber>
        <LegalEntityID>5515516</LegalEntityID>
        <CaseLegalEntityID>128738173</CaseLegalEntityID>
        <AuthenticationTypeID>1</AuthenticationTypeID>
        <AuthenticationTypeName>ת"ז</AuthenticationTypeName>
        <LegalEntityNumber>054209457</LegalEntityNumber>
        <IsMainPartyType>true</IsMainPartyType>
        <CaseDisplayIdentifier>10871-05-24</CaseDisplayIdentifier>
        <CaseTypeID>10262</CaseTypeID>
        <CaseTypeName>תביעה לאחר הסדר התדיינויות במשפחה (תלה"מ)</CaseTypeName>
        <CaseName>רונן נ' הרוש</CaseName>
        <FullAddress>דרך מגדיאל 51 הוד השרון </FullAddress>
        <EmailAddress>youngorit147@gmail.com</EmailAddress>
        <MotionID>0</MotionID>
        <CasePleaID>0</CasePleaID>
        <FatherName>יהושע</FatherName>
        <LinkedCaseID>0</LinkedCaseID>
        <PartyID>2</PartyID>
        <CasePartyCategoryID>2</CasePartyCategoryID>
        <LegalEntityAddressID>89257419</LegalEntityAddressID>
        <LegalEntityEmailAddressID>68380894</LegalEntityEmailAddressID>
        <PleaTypeID>4</PleaTypeID>
        <GroupPartyAlias>נתבעים</GroupPartyAlias>
        <IsConverted>false</IsConverted>
        <LegalEntityRegisteredNameID>6166476</LegalEntityRegisteredNameID>
        <LegalEntityNameID>96513772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יאנג (הרוש)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אלאג'ם-זיסמן</FullName>
        <FirstName>רונית</FirstName>
        <LastName>אלאג'ם-זיסמן</LastName>
        <PartyPropertyName/>
        <AuthenticationTypeAndNumber>מ.ר. 58295</AuthenticationTypeAndNumber>
        <RepresentatedOrRepresentativesNames>רזיאל רונן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269684153</CasePartyID>
        <PartyTypeID>2</PartyTypeID>
        <ActivityStatusID>1</ActivityStatusID>
        <PartyAliasID>20</PartyAliasID>
        <PartyAliasName>בא כוח תובעים</PartyAliasName>
        <OrdinalNumber>2</OrdinalNumber>
        <LegalEntityID>71681159</LegalEntityID>
        <CaseLegalEntityID>128738170</CaseLegalEntityID>
        <AuthenticationTypeID>4</AuthenticationTypeID>
        <AuthenticationTypeName>מ.ר.</AuthenticationTypeName>
        <LegalEntityNumber>58295</LegalEntityNumber>
        <IsMainPartyType>true</IsMainPartyType>
        <CaseDisplayIdentifier>10871-05-24</CaseDisplayIdentifier>
        <CaseTypeID>10262</CaseTypeID>
        <CaseTypeName>תביעה לאחר הסדר התדיינויות במשפחה (תלה"מ)</CaseTypeName>
        <CaseName>רונן נ' הרוש</CaseName>
        <FullAddress>ויצמן 2 תל אביב -יפו </FullAddress>
        <MotionID>0</MotionID>
        <CasePleaID>0</CasePleaID>
        <LinkedCaseID>0</LinkedCaseID>
        <PartyID>1</PartyID>
        <CasePartyCategoryID>2</CasePartyCategoryID>
        <LegalEntityAddressID>89490376</LegalEntityAddressID>
        <PleaTypeID>4</PleaTypeID>
        <LawyerOfficeName>משרד עו"ד: ארתור שני</LawyerOfficeName>
        <LawyerOfficeID>74958306</LawyerOfficeID>
        <GroupPartyAlias/>
        <IsConverted>false</IsConverted>
        <LegalEntityNameID>75024498</LegalEntityNameID>
        <RepresentatedNamesOfAssistant/>
        <LegalEntityTypeID>4</LegalEntityTypeID>
        <IsVerdictExists>false</IsVerdictExists>
        <IsAsirAzir>false</IsAsirAzir>
        <MainAndSecSpec/>
        <IsPublicationProhibited>false</IsPublicationProhibited>
        <PublicationProhibitedFullName>רונית אלאג'ם-זיסמן</PublicationProhibitedFullName>
      </CaseParties>
    </CasePartiesSelectionDS>
    <DecisionName>החלטה  שניתנה ע"י  שירלי שי</DecisionName>
    <CourtDisplayName>בית משפט לענייני משפחה בפתח תקווה</CourtDisplayName>
    <IsCaseJudgePanel>false</IsCaseJudgePanel>
    <DecisionSignatureDate>2024-07-04T08:53:50.1006967+03:00</DecisionSignatureDate>
    <OpenCaseDate>2024-05-05T12:18:00+03:00</OpenCaseDate>
    <CaseFeeSum>0.000</CaseFeeSum>
    <DecisionTypeID>1</DecisionTypeID>
    <DecisionSignatureUserName>שירלי שי</DecisionSignatureUserName>
    <DecisionSignatureDateHebrew>2024-07-04T08:53:50.1006967+03:00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רונן נ' הרוש</CaseName>
    <DecisionNumberInCase>14</DecisionNumberInCase>
  </dt_Decision>
  <dt_DecisionCase>
    <DecisionID>0</DecisionID>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איילת חן פרידמן</FullName>
        <FirstName>איילת</FirstName>
        <LastName>חן פרידמן</LastName>
        <PartyPropertyName/>
        <AuthenticationTypeAndNumber>מ.ר. 47608</AuthenticationTypeAndNumber>
        <RepresentatedOrRepresentativesNames>אורית יאנג (הרוש)</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270528493</CasePartyID>
        <PartyTypeID>2</PartyTypeID>
        <ActivityStatusID>1</ActivityStatusID>
        <PartyAliasID>21</PartyAliasID>
        <PartyAliasName>בא כוח נתבעים</PartyAliasName>
        <LegalEntityID>15878952</LegalEntityID>
        <CaseLegalEntityID>128990103</CaseLegalEntityID>
        <AuthenticationTypeID>4</AuthenticationTypeID>
        <AuthenticationTypeName>מ.ר.</AuthenticationTypeName>
        <LegalEntityNumber>47608</LegalEntityNumber>
        <IsMainPartyType>true</IsMainPartyType>
        <CaseDisplayIdentifier>10871-05-24</CaseDisplayIdentifier>
        <CaseTypeID>10262</CaseTypeID>
        <CaseTypeName>תביעה לאחר הסדר התדיינויות במשפחה (תלה"מ)</CaseTypeName>
        <CaseName>רונן נ' הרוש</CaseName>
        <FullAddress>הנופר 2 רעננה ת.ד 4332</FullAddress>
        <EmailAddress>office@staflaw.com</EmailAddress>
        <MotionID>0</MotionID>
        <CasePleaID>0</CasePleaID>
        <LinkedCaseID>0</LinkedCaseID>
        <PartyID>2</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77859291</LegalEntityNameID>
        <RepresentatedNamesOfAssistant/>
        <LegalEntityTypeID>4</LegalEntityTypeID>
        <IsVerdictExists>false</IsVerdictExists>
        <IsAsirAzir>false</IsAsirAzir>
        <MainAndSecSpec/>
        <IsPublicationProhibited>false</IsPublicationProhibited>
        <PublicationProhibitedFullName>איילת חן פרידמן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רזיאל רונן</FullName>
        <FirstName>רזיאל</FirstName>
        <LastName>רונן</LastName>
        <PartyPropertyName/>
        <AuthenticationTypeAndNumber>ת"ז 051804375</AuthenticationTypeAndNumber>
        <RepresentatedOrRepresentativesNames>רונית אלאג'ם-זיסמן, ארתור שני</RepresentatedOrRepresentativesNames>
        <RepresentatedOrRepresentativesCount>2</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269684154</CasePartyID>
        <PartyTypeID>1</PartyTypeID>
        <ActivityStatusID>1</ActivityStatusID>
        <PartyAliasID>1</PartyAliasID>
        <PartyAliasName>תובע</PartyAliasName>
        <OrdinalNumber>1</OrdinalNumber>
        <LegalEntityID>491746</LegalEntityID>
        <CaseLegalEntityID>128738171</CaseLegalEntityID>
        <AuthenticationTypeID>1</AuthenticationTypeID>
        <AuthenticationTypeName>ת"ז</AuthenticationTypeName>
        <LegalEntityNumber>051804375</LegalEntityNumber>
        <IsMainPartyType>true</IsMainPartyType>
        <CaseDisplayIdentifier>10871-05-24</CaseDisplayIdentifier>
        <CaseTypeID>10262</CaseTypeID>
        <CaseTypeName>תביעה לאחר הסדר התדיינויות במשפחה (תלה"מ)</CaseTypeName>
        <CaseName>רונן נ' הרוש</CaseName>
        <FullAddress>דרך מגדיאל 51 הוד השרון </FullAddress>
        <MotionID>0</MotionID>
        <CasePleaID>0</CasePleaID>
        <FatherName>אברהם</FatherName>
        <LinkedCaseID>0</LinkedCaseID>
        <PartyID>1</PartyID>
        <CasePartyCategoryID>2</CasePartyCategoryID>
        <LegalEntityAddressID>89257418</LegalEntityAddressID>
        <PleaTypeID>4</PleaTypeID>
        <GroupPartyAlias>תובעים</GroupPartyAlias>
        <IsConverted>false</IsConverted>
        <LegalEntityRegisteredNameID>2327110</LegalEntityRegisteredNameID>
        <LegalEntityNameID>96513771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רזיאל רונן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ארתור שני</FullName>
        <FirstName>ארתור</FirstName>
        <LastName>שני</LastName>
        <PartyPropertyName/>
        <AuthenticationTypeAndNumber>מ.ר. 71172</AuthenticationTypeAndNumber>
        <RepresentatedOrRepresentativesNames>רזיאל רונן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269684155</CasePartyID>
        <PartyTypeID>2</PartyTypeID>
        <ActivityStatusID>1</ActivityStatusID>
        <PartyAliasID>20</PartyAliasID>
        <PartyAliasName>בא כוח תובעים</PartyAliasName>
        <OrdinalNumber>1</OrdinalNumber>
        <LegalEntityID>74958305</LegalEntityID>
        <CaseLegalEntityID>128738172</CaseLegalEntityID>
        <AuthenticationTypeID>4</AuthenticationTypeID>
        <AuthenticationTypeName>מ.ר.</AuthenticationTypeName>
        <LegalEntityNumber>71172</LegalEntityNumber>
        <IsMainPartyType>true</IsMainPartyType>
        <CaseDisplayIdentifier>10871-05-24</CaseDisplayIdentifier>
        <CaseTypeID>10262</CaseTypeID>
        <CaseTypeName>תביעה לאחר הסדר התדיינויות במשפחה (תלה"מ)</CaseTypeName>
        <CaseName>רונן נ' הרוש</CaseName>
        <FullAddress>ויצמן 2 תל אביב -יפו </FullAddress>
        <EmailAddress>office@AnyFamily.law</EmailAddress>
        <MotionID>0</MotionID>
        <CasePleaID>0</CasePleaID>
        <LinkedCaseID>0</LinkedCaseID>
        <PartyID>1</PartyID>
        <CasePartyCategoryID>2</CasePartyCategoryID>
        <LegalEntityAddressID>89490376</LegalEntityAddressID>
        <LegalEntityEmailAddressID>67992121</LegalEntityEmailAddressID>
        <PleaTypeID>4</PleaTypeID>
        <LawyerOfficeName>משרד עו"ד: ארתור שני</LawyerOfficeName>
        <LawyerOfficeID>74958306</LawyerOfficeID>
        <GroupPartyAlias/>
        <IsConverted>false</IsConverted>
        <LegalEntityNameID>81008819</LegalEntityNameID>
        <RepresentatedNamesOfAssistant/>
        <LegalEntityTypeID>4</LegalEntityTypeID>
        <IsVerdictExists>false</IsVerdictExists>
        <IsAsirAzir>false</IsAsirAzir>
        <MainAndSecSpec/>
        <IsPublicationProhibited>false</IsPublicationProhibited>
        <PublicationProhibitedFullName>ארתור 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אורית יאנג (הרוש)</FullName>
        <FirstName>אורית</FirstName>
        <LastName>יאנג</LastName>
        <PartyPropertyName/>
        <AuthenticationTypeAndNumber>ת"ז 054209457</AuthenticationTypeAndNumber>
        <RepresentatedOrRepresentativesNames>איילת חן פרידמן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269684156</CasePartyID>
        <PartyTypeID>1</PartyTypeID>
        <ActivityStatusID>1</ActivityStatusID>
        <PartyAliasID>2</PartyAliasID>
        <PartyAliasName>נתבע</PartyAliasName>
        <OrdinalNumber>1</OrdinalNumber>
        <LegalEntityID>5515516</LegalEntityID>
        <CaseLegalEntityID>128738173</CaseLegalEntityID>
        <AuthenticationTypeID>1</AuthenticationTypeID>
        <AuthenticationTypeName>ת"ז</AuthenticationTypeName>
        <LegalEntityNumber>054209457</LegalEntityNumber>
        <IsMainPartyType>true</IsMainPartyType>
        <CaseDisplayIdentifier>10871-05-24</CaseDisplayIdentifier>
        <CaseTypeID>10262</CaseTypeID>
        <CaseTypeName>תביעה לאחר הסדר התדיינויות במשפחה (תלה"מ)</CaseTypeName>
        <CaseName>רונן נ' הרוש</CaseName>
        <FullAddress>דרך מגדיאל 51 הוד השרון </FullAddress>
        <EmailAddress>youngorit147@gmail.com</EmailAddress>
        <MotionID>0</MotionID>
        <CasePleaID>0</CasePleaID>
        <FatherName>יהושע</FatherName>
        <LinkedCaseID>0</LinkedCaseID>
        <PartyID>2</PartyID>
        <CasePartyCategoryID>2</CasePartyCategoryID>
        <LegalEntityAddressID>89257419</LegalEntityAddressID>
        <LegalEntityEmailAddressID>68380894</LegalEntityEmailAddressID>
        <PleaTypeID>4</PleaTypeID>
        <GroupPartyAlias>נתבעים</GroupPartyAlias>
        <IsConverted>false</IsConverted>
        <LegalEntityRegisteredNameID>6166476</LegalEntityRegisteredNameID>
        <LegalEntityNameID>96513772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יאנג (הרוש)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אלאג'ם-זיסמן</FullName>
        <FirstName>רונית</FirstName>
        <LastName>אלאג'ם-זיסמן</LastName>
        <PartyPropertyName/>
        <AuthenticationTypeAndNumber>מ.ר. 58295</AuthenticationTypeAndNumber>
        <RepresentatedOrRepresentativesNames>רזיאל רונן</RepresentatedOrRepresentativesNames>
        <RepresentatedOrRepresentativesCount>1</RepresentatedOrRepresentativesCount>
        <InvitedBy/>
        <CaseID>81197956</CaseID>
        <CaseJudicialPersonPresentationDS>
          <CaseJudicalPersonActive>
            <CaseID>81197956</CaseID>
            <JudicialPersonID>022829972@GOV.IL</JudicialPersonID>
            <JudicialPersonTypeID>1</JudicialPersonTypeID>
            <JudicialTypeID>1</JudicialTypeID>
            <IsChairman>false</IsChairman>
            <TreatmentStartDate>2024-07-02T07:21:45.843+03:00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269684153</CasePartyID>
        <PartyTypeID>2</PartyTypeID>
        <ActivityStatusID>1</ActivityStatusID>
        <PartyAliasID>20</PartyAliasID>
        <PartyAliasName>בא כוח תובעים</PartyAliasName>
        <OrdinalNumber>2</OrdinalNumber>
        <LegalEntityID>71681159</LegalEntityID>
        <CaseLegalEntityID>128738170</CaseLegalEntityID>
        <AuthenticationTypeID>4</AuthenticationTypeID>
        <AuthenticationTypeName>מ.ר.</AuthenticationTypeName>
        <LegalEntityNumber>58295</LegalEntityNumber>
        <IsMainPartyType>true</IsMainPartyType>
        <CaseDisplayIdentifier>10871-05-24</CaseDisplayIdentifier>
        <CaseTypeID>10262</CaseTypeID>
        <CaseTypeName>תביעה לאחר הסדר התדיינויות במשפחה (תלה"מ)</CaseTypeName>
        <CaseName>רונן נ' הרוש</CaseName>
        <FullAddress>ויצמן 2 תל אביב -יפו </FullAddress>
        <MotionID>0</MotionID>
        <CasePleaID>0</CasePleaID>
        <LinkedCaseID>0</LinkedCaseID>
        <PartyID>1</PartyID>
        <CasePartyCategoryID>2</CasePartyCategoryID>
        <LegalEntityAddressID>89490376</LegalEntityAddressID>
        <PleaTypeID>4</PleaTypeID>
        <LawyerOfficeName>משרד עו"ד: ארתור שני</LawyerOfficeName>
        <LawyerOfficeID>74958306</LawyerOfficeID>
        <GroupPartyAlias/>
        <IsConverted>false</IsConverted>
        <LegalEntityNameID>75024498</LegalEntityNameID>
        <RepresentatedNamesOfAssistant/>
        <LegalEntityTypeID>4</LegalEntityTypeID>
        <IsVerdictExists>false</IsVerdictExists>
        <IsAsirAzir>false</IsAsirAzir>
        <MainAndSecSpec/>
        <IsPublicationProhibited>false</IsPublicationProhibited>
        <PublicationProhibitedFullName>רונית אלאג'ם-זיסמן</PublicationProhibitedFullName>
      </CaseParties>
    </CasePartiesSelectionDS>
    <CaseName>רונן נ' הרוש</CaseName>
    <CaseDisplayIdentifier>10871-05-24</CaseDisplayIdentifier>
    <CaseInterestID>10513</CaseInterestID>
    <CaseTypeShortName>תלה"מ</CaseTypeShortName>
  </dt_DecisionCase>
  <dt_DecisionJudgePanel>
    <JudgeID>022829972@GOV.IL</JudgeID>
    <DisplayName>שירלי שי</DisplayName>
    <RoleName>שופט</RoleName>
    <UserTitleName>שופטת</UserTitleName>
  </dt_DecisionJudgePanel>
  <dt_LegalEntityDetails>
    <Fax>09-9666066</Fax>
    <Phone>09-9666060</Phone>
    <AddressDesc>ת.ד 4332</AddressDesc>
    <PartyID>2</PartyID>
    <PartyTypeID>2</PartyTypeID>
    <DecisionID>0</DecisionID>
    <StreetName>הנופר 2</StreetName>
    <ZipCode>4366402</ZipCode>
    <CityName>רעננה</CityName>
    <FullName>איילת חן פרידמן</FullName>
    <Email>office@staflaw.com</Email>
    <IsPublicationProhibited>false</IsPublicationProhibited>
  </dt_LegalEntityDetails>
  <dt_LegalEntityDetails>
    <PartyID>1</PartyID>
    <PartyTypeID>1</PartyTypeID>
    <DecisionID>0</DecisionID>
    <StreetName>דרך מגדיאל 51</StreetName>
    <CityName>הוד השרון</CityName>
    <FullName>רזיאל רונן</FullName>
    <Email>office@anyfamily.law</Email>
    <IsPublicationProhibited>false</IsPublicationProhibited>
  </dt_LegalEntityDetails>
  <dt_LegalEntityDetails>
    <Fax>03-5544970</Fax>
    <Phone>03-3020210</Phone>
    <PartyID>1</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PartyID>2</PartyID>
    <PartyTypeID>1</PartyTypeID>
    <DecisionID>0</DecisionID>
    <StreetName>דרך מגדיאל 51</StreetName>
    <CityName>הוד השרון</CityName>
    <FullName>אורית יאנג (הרוש)</FullName>
    <Email>youngorit147@gmail.com</Email>
    <IsPublicationProhibited>false</IsPublicationProhibited>
  </dt_LegalEntityDetails>
  <dt_LegalEntityDetails>
    <Fax>03-5544970</Fax>
    <Phone>03-3020210</Phone>
    <PartyID>1</PartyID>
    <PartyTypeID>2</PartyTypeID>
    <DecisionID>0</DecisionID>
    <StreetName>ויצמן 2</StreetName>
    <ZipCode>6423902</ZipCode>
    <CityName>תל אביב -יפו</CityName>
    <FullName>רונית אלאג'ם-זיסמן</FullName>
    <Email>office@AnyFamily.law</Email>
    <IsPublicationProhibited>false</IsPublicationProhibited>
  </dt_LegalEntityDetails>
  <dt_CaseJudicalPersonActive>
    <CaseJudicalPerson>שופטת שירלי שי</CaseJudicalPerson>
  </dt_CaseJudicalPersonActive>
  <dt_Sitting>
    <PreviousMeetingDate>2024-07-02T10:00:00+03:00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ED0E-D53E-4AD2-91B7-60B476702DAD}">
  <ds:schemaRefs/>
</ds:datastoreItem>
</file>

<file path=customXml/itemProps2.xml><?xml version="1.0" encoding="utf-8"?>
<ds:datastoreItem xmlns:ds="http://schemas.openxmlformats.org/officeDocument/2006/customXml" ds:itemID="{AD189181-6545-4D86-B5D8-FA2D3178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1377</Words>
  <Characters>6889</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2024-09-22T08:17:00Z</dcterms:created>
  <dcterms:modified xsi:type="dcterms:W3CDTF">2024-09-22T08:17:00Z</dcterms:modified>
</cp:coreProperties>
</file>